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E" w:rsidRPr="000A4578" w:rsidRDefault="00DA788E" w:rsidP="00555E63">
      <w:pPr>
        <w:tabs>
          <w:tab w:val="left" w:pos="6300"/>
        </w:tabs>
        <w:jc w:val="right"/>
        <w:rPr>
          <w:rFonts w:ascii="Arial" w:hAnsi="Arial" w:cs="Arial"/>
          <w:b/>
          <w:sz w:val="56"/>
        </w:rPr>
      </w:pPr>
      <w:r w:rsidRPr="000A4578">
        <w:rPr>
          <w:rFonts w:ascii="Arial" w:hAnsi="Arial" w:cs="Arial"/>
        </w:rPr>
        <w:tab/>
      </w:r>
      <w:r w:rsidRPr="000A4578">
        <w:rPr>
          <w:rFonts w:ascii="Arial" w:hAnsi="Arial" w:cs="Arial"/>
          <w:b/>
          <w:sz w:val="56"/>
        </w:rPr>
        <w:t>AGENDA</w:t>
      </w:r>
    </w:p>
    <w:p w:rsidR="00DA788E" w:rsidRPr="000A4578" w:rsidRDefault="00DA788E" w:rsidP="00555E63">
      <w:pPr>
        <w:tabs>
          <w:tab w:val="left" w:pos="6300"/>
        </w:tabs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180" w:type="dxa"/>
        <w:jc w:val="right"/>
        <w:tblLook w:val="01E0"/>
      </w:tblPr>
      <w:tblGrid>
        <w:gridCol w:w="9180"/>
      </w:tblGrid>
      <w:tr w:rsidR="00DA788E" w:rsidRPr="000A4578" w:rsidTr="005115B8">
        <w:trPr>
          <w:jc w:val="right"/>
        </w:trPr>
        <w:tc>
          <w:tcPr>
            <w:tcW w:w="9180" w:type="dxa"/>
            <w:vAlign w:val="center"/>
          </w:tcPr>
          <w:p w:rsidR="00DA788E" w:rsidRPr="005115B8" w:rsidRDefault="00DA788E" w:rsidP="005115B8">
            <w:pPr>
              <w:spacing w:after="240"/>
              <w:jc w:val="right"/>
              <w:rPr>
                <w:rFonts w:ascii="Arial" w:hAnsi="Arial" w:cs="Arial"/>
                <w:b/>
                <w:sz w:val="32"/>
                <w:szCs w:val="32"/>
                <w:lang w:eastAsia="ro-RO"/>
              </w:rPr>
            </w:pPr>
            <w:r w:rsidRPr="005115B8">
              <w:rPr>
                <w:rFonts w:ascii="Arial" w:hAnsi="Arial" w:cs="Arial"/>
                <w:b/>
                <w:sz w:val="32"/>
                <w:szCs w:val="32"/>
                <w:lang w:eastAsia="ro-RO"/>
              </w:rPr>
              <w:t>Dreptul Uniunii Europene în contenciosul administrativ. Fonduri structurale şi TVA</w:t>
            </w:r>
          </w:p>
        </w:tc>
      </w:tr>
      <w:tr w:rsidR="00DA788E" w:rsidRPr="000A4578" w:rsidTr="005115B8">
        <w:trPr>
          <w:jc w:val="right"/>
        </w:trPr>
        <w:tc>
          <w:tcPr>
            <w:tcW w:w="9180" w:type="dxa"/>
            <w:vAlign w:val="center"/>
          </w:tcPr>
          <w:p w:rsidR="00DA788E" w:rsidRPr="005115B8" w:rsidRDefault="00DA788E" w:rsidP="005115B8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  <w:lang w:eastAsia="ro-RO"/>
              </w:rPr>
            </w:pPr>
            <w:r w:rsidRPr="005115B8">
              <w:rPr>
                <w:rFonts w:ascii="Arial" w:hAnsi="Arial" w:cs="Arial"/>
                <w:sz w:val="28"/>
                <w:szCs w:val="28"/>
                <w:lang w:eastAsia="ro-RO"/>
              </w:rPr>
              <w:t>18-19 iunie 2015</w:t>
            </w:r>
          </w:p>
        </w:tc>
      </w:tr>
      <w:tr w:rsidR="00DA788E" w:rsidRPr="000A4578" w:rsidTr="005115B8">
        <w:trPr>
          <w:jc w:val="right"/>
        </w:trPr>
        <w:tc>
          <w:tcPr>
            <w:tcW w:w="9180" w:type="dxa"/>
            <w:vAlign w:val="center"/>
          </w:tcPr>
          <w:p w:rsidR="00DA788E" w:rsidRPr="005115B8" w:rsidRDefault="00DA788E" w:rsidP="005115B8">
            <w:pPr>
              <w:spacing w:after="120"/>
              <w:jc w:val="right"/>
              <w:rPr>
                <w:rFonts w:ascii="Arial" w:hAnsi="Arial" w:cs="Arial"/>
                <w:sz w:val="28"/>
                <w:szCs w:val="28"/>
                <w:lang w:eastAsia="ro-RO"/>
              </w:rPr>
            </w:pPr>
            <w:r w:rsidRPr="005115B8">
              <w:rPr>
                <w:rFonts w:ascii="Arial" w:hAnsi="Arial" w:cs="Arial"/>
                <w:sz w:val="28"/>
                <w:szCs w:val="28"/>
                <w:lang w:eastAsia="ro-RO"/>
              </w:rPr>
              <w:t>Bucureşti</w:t>
            </w:r>
          </w:p>
        </w:tc>
      </w:tr>
    </w:tbl>
    <w:p w:rsidR="00DA788E" w:rsidRDefault="00DA788E" w:rsidP="00555E63">
      <w:pPr>
        <w:rPr>
          <w:rFonts w:ascii="Arial" w:hAnsi="Arial" w:cs="Arial"/>
        </w:rPr>
      </w:pPr>
    </w:p>
    <w:p w:rsidR="00DA788E" w:rsidRDefault="00DA788E" w:rsidP="00555E63">
      <w:pPr>
        <w:rPr>
          <w:rFonts w:ascii="Arial" w:hAnsi="Arial" w:cs="Arial"/>
        </w:rPr>
      </w:pPr>
      <w:r>
        <w:rPr>
          <w:rFonts w:ascii="Arial" w:hAnsi="Arial" w:cs="Arial"/>
        </w:rPr>
        <w:t>Formatori: Gabriela Bogasiu, judecător ÎCCJ - 18 iunie 2015</w:t>
      </w:r>
    </w:p>
    <w:p w:rsidR="00DA788E" w:rsidRPr="000A4578" w:rsidRDefault="00DA788E" w:rsidP="00555E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Bogdan Cristea, judecător CA Bucureşti-  19 iunie 2015</w:t>
      </w:r>
    </w:p>
    <w:p w:rsidR="00DA788E" w:rsidRPr="000A4578" w:rsidRDefault="00DA788E" w:rsidP="00555E63">
      <w:pPr>
        <w:rPr>
          <w:rFonts w:ascii="Arial" w:hAnsi="Arial" w:cs="Arial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/>
      </w:tblPr>
      <w:tblGrid>
        <w:gridCol w:w="1994"/>
        <w:gridCol w:w="7920"/>
      </w:tblGrid>
      <w:tr w:rsidR="00DA788E" w:rsidRPr="000A4578" w:rsidTr="005115B8">
        <w:trPr>
          <w:trHeight w:val="567"/>
        </w:trPr>
        <w:tc>
          <w:tcPr>
            <w:tcW w:w="9914" w:type="dxa"/>
            <w:gridSpan w:val="2"/>
            <w:shd w:val="clear" w:color="auto" w:fill="999999"/>
            <w:vAlign w:val="center"/>
          </w:tcPr>
          <w:p w:rsidR="00DA788E" w:rsidRPr="005115B8" w:rsidRDefault="00DA788E" w:rsidP="005115B8">
            <w:pPr>
              <w:spacing w:after="120"/>
              <w:rPr>
                <w:rFonts w:ascii="Arial" w:hAnsi="Arial" w:cs="Arial"/>
                <w:b/>
                <w:color w:val="FFFFFF"/>
                <w:lang w:eastAsia="ro-RO"/>
              </w:rPr>
            </w:pPr>
            <w:r w:rsidRPr="005115B8">
              <w:rPr>
                <w:rFonts w:ascii="Arial" w:hAnsi="Arial" w:cs="Arial"/>
                <w:b/>
                <w:color w:val="FFFFFF"/>
                <w:lang w:eastAsia="ro-RO"/>
              </w:rPr>
              <w:t>Joi, 18 iunie 2015</w:t>
            </w: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9.30- 10.00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DA788E" w:rsidRDefault="00DA788E" w:rsidP="0076273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Deschiderea seminarului. Prezentarea formatorului şi a participanţilor. Enunţarea temelor de dezbatere.</w:t>
            </w:r>
          </w:p>
          <w:p w:rsidR="00DA788E" w:rsidRDefault="00DA788E" w:rsidP="0076273C">
            <w:pPr>
              <w:spacing w:after="120"/>
              <w:jc w:val="both"/>
              <w:rPr>
                <w:b/>
              </w:rPr>
            </w:pP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u w:val="single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10.00- 11.0</w:t>
            </w:r>
            <w:r w:rsidRPr="005115B8">
              <w:rPr>
                <w:rFonts w:ascii="Arial" w:hAnsi="Arial" w:cs="Arial"/>
                <w:lang w:eastAsia="ro-RO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DA788E" w:rsidRPr="00D0137E" w:rsidRDefault="00DA788E" w:rsidP="008342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Operaţiuni care intră în sfera de aplicare a TVA. </w:t>
            </w:r>
            <w:r w:rsidRPr="00D0137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Regimul juridic al TVA în cazul tranzacţiilor imobiliare efectuate de persoane fizice. Regimul juridic al TVA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în cazul operaţiunilor efectuate de instituţiile publice. </w:t>
            </w:r>
          </w:p>
          <w:p w:rsidR="00DA788E" w:rsidRPr="00937579" w:rsidRDefault="00DA788E" w:rsidP="007627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DA788E" w:rsidRPr="005115B8" w:rsidRDefault="00DA788E" w:rsidP="0076273C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11.00-11.1</w:t>
            </w:r>
            <w:r w:rsidRPr="005115B8">
              <w:rPr>
                <w:rFonts w:ascii="Arial" w:hAnsi="Arial" w:cs="Arial"/>
                <w:lang w:eastAsia="ro-RO"/>
              </w:rPr>
              <w:t>5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i/>
                <w:lang w:eastAsia="ro-RO"/>
              </w:rPr>
            </w:pPr>
            <w:r w:rsidRPr="005115B8">
              <w:rPr>
                <w:rFonts w:ascii="Arial" w:hAnsi="Arial" w:cs="Arial"/>
                <w:i/>
                <w:lang w:eastAsia="ro-RO"/>
              </w:rPr>
              <w:t>Pauza de cafea</w:t>
            </w: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ro-RO"/>
              </w:rPr>
            </w:pPr>
            <w:r>
              <w:rPr>
                <w:rFonts w:ascii="Arial" w:hAnsi="Arial" w:cs="Arial"/>
                <w:lang w:eastAsia="ro-RO"/>
              </w:rPr>
              <w:t>11.1</w:t>
            </w:r>
            <w:r w:rsidRPr="005115B8">
              <w:rPr>
                <w:rFonts w:ascii="Arial" w:hAnsi="Arial" w:cs="Arial"/>
                <w:lang w:eastAsia="ro-RO"/>
              </w:rPr>
              <w:t>5-12.30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DA788E" w:rsidRPr="00937579" w:rsidRDefault="00DA788E" w:rsidP="007627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37579">
              <w:rPr>
                <w:rFonts w:ascii="Times New Roman" w:hAnsi="Times New Roman"/>
                <w:b/>
                <w:sz w:val="24"/>
                <w:szCs w:val="24"/>
              </w:rPr>
              <w:t>T.V.A 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principiul neutralităţii fiscale; exercitarea dreptul de deducere; regimul juridic al dobânzilor.</w:t>
            </w:r>
            <w:r w:rsidRPr="00937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Coordonate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 xml:space="preserve"> ale 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jurisprudenţei recente a CJUE. 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Experienţe ale instanţelor româneşti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 xml:space="preserve"> (I)</w:t>
            </w:r>
          </w:p>
          <w:p w:rsidR="00DA788E" w:rsidRPr="005115B8" w:rsidRDefault="00DA788E" w:rsidP="0076273C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 xml:space="preserve">12.30-13.30 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lang w:eastAsia="ro-RO"/>
              </w:rPr>
            </w:pPr>
            <w:r w:rsidRPr="005115B8">
              <w:rPr>
                <w:rFonts w:ascii="Arial" w:hAnsi="Arial" w:cs="Arial"/>
                <w:i/>
                <w:lang w:eastAsia="ro-RO"/>
              </w:rPr>
              <w:t>Pauza de prânz</w:t>
            </w: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 xml:space="preserve">13.30-15.00 </w:t>
            </w:r>
          </w:p>
        </w:tc>
        <w:tc>
          <w:tcPr>
            <w:tcW w:w="7920" w:type="dxa"/>
            <w:tcBorders>
              <w:left w:val="nil"/>
            </w:tcBorders>
            <w:vAlign w:val="center"/>
          </w:tcPr>
          <w:p w:rsidR="00DA788E" w:rsidRPr="00937579" w:rsidRDefault="00DA788E" w:rsidP="0083429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37579">
              <w:rPr>
                <w:rFonts w:ascii="Times New Roman" w:hAnsi="Times New Roman"/>
                <w:b/>
                <w:sz w:val="24"/>
                <w:szCs w:val="24"/>
              </w:rPr>
              <w:t>T.V.A 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principiul neutralităţii fiscale; exercitarea dreptul de deducere; regimul juridic al dobânzilor.</w:t>
            </w:r>
            <w:r w:rsidRPr="00937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Coordonate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 xml:space="preserve"> ale 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jurisprudenţei recente a CJUE. </w:t>
            </w:r>
            <w:r w:rsidRPr="00937579"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>Experienţe ale instanţelor româneşti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o-RO"/>
              </w:rPr>
              <w:t xml:space="preserve"> (II)</w:t>
            </w:r>
          </w:p>
          <w:p w:rsidR="00DA788E" w:rsidRPr="005115B8" w:rsidRDefault="00DA788E" w:rsidP="0083429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eastAsia="ro-RO"/>
              </w:rPr>
            </w:pP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>15.00-15.15</w:t>
            </w:r>
          </w:p>
        </w:tc>
        <w:tc>
          <w:tcPr>
            <w:tcW w:w="7920" w:type="dxa"/>
            <w:tcBorders>
              <w:left w:val="nil"/>
            </w:tcBorders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i/>
                <w:lang w:eastAsia="ro-RO"/>
              </w:rPr>
            </w:pPr>
            <w:r w:rsidRPr="005115B8">
              <w:rPr>
                <w:rFonts w:ascii="Arial" w:hAnsi="Arial" w:cs="Arial"/>
                <w:i/>
                <w:lang w:eastAsia="ro-RO"/>
              </w:rPr>
              <w:t>Pauză de cafea</w:t>
            </w:r>
          </w:p>
        </w:tc>
      </w:tr>
      <w:tr w:rsidR="00DA788E" w:rsidRPr="000A4578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>15.15-16.00</w:t>
            </w:r>
          </w:p>
        </w:tc>
        <w:tc>
          <w:tcPr>
            <w:tcW w:w="7920" w:type="dxa"/>
            <w:tcBorders>
              <w:left w:val="nil"/>
            </w:tcBorders>
          </w:tcPr>
          <w:p w:rsidR="00DA788E" w:rsidRPr="005115B8" w:rsidRDefault="00DA788E" w:rsidP="0083429A">
            <w:pPr>
              <w:rPr>
                <w:rFonts w:ascii="Arial" w:hAnsi="Arial" w:cs="Arial"/>
                <w:lang w:eastAsia="ro-RO"/>
              </w:rPr>
            </w:pPr>
            <w:r>
              <w:rPr>
                <w:b/>
              </w:rPr>
              <w:t>Alte aspecte controversate de drept fiscal şi procesual fiscal.  Motivul de revizuire prevăzut în art. 21 alin. (2) din Legea nr. 554/ 2004. Încălcarea dreptului Uniunii Europene</w:t>
            </w:r>
          </w:p>
        </w:tc>
      </w:tr>
    </w:tbl>
    <w:p w:rsidR="00DA788E" w:rsidRDefault="00DA788E" w:rsidP="00555E63">
      <w:pPr>
        <w:jc w:val="both"/>
        <w:rPr>
          <w:rFonts w:ascii="Arial" w:hAnsi="Arial" w:cs="Arial"/>
        </w:rPr>
      </w:pPr>
    </w:p>
    <w:p w:rsidR="00DA788E" w:rsidRDefault="00DA788E" w:rsidP="00555E63">
      <w:pPr>
        <w:jc w:val="both"/>
        <w:rPr>
          <w:rFonts w:ascii="Arial" w:hAnsi="Arial" w:cs="Arial"/>
        </w:rPr>
      </w:pPr>
    </w:p>
    <w:tbl>
      <w:tblPr>
        <w:tblW w:w="9941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994"/>
        <w:gridCol w:w="7947"/>
      </w:tblGrid>
      <w:tr w:rsidR="00DA788E" w:rsidRPr="001C1D65" w:rsidTr="005115B8">
        <w:trPr>
          <w:trHeight w:val="567"/>
        </w:trPr>
        <w:tc>
          <w:tcPr>
            <w:tcW w:w="9941" w:type="dxa"/>
            <w:gridSpan w:val="2"/>
            <w:shd w:val="clear" w:color="auto" w:fill="999999"/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b/>
                <w:color w:val="FFFFFF"/>
                <w:lang w:eastAsia="ro-RO"/>
              </w:rPr>
            </w:pPr>
            <w:r w:rsidRPr="005115B8">
              <w:rPr>
                <w:rFonts w:ascii="Arial" w:hAnsi="Arial" w:cs="Arial"/>
                <w:b/>
                <w:color w:val="FFFFFF"/>
                <w:lang w:eastAsia="ro-RO"/>
              </w:rPr>
              <w:t>Vineri, 19 iunie 2015</w:t>
            </w:r>
          </w:p>
        </w:tc>
      </w:tr>
      <w:tr w:rsidR="00DA788E" w:rsidRPr="001C1D65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>9.30 -10.30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b/>
                <w:lang w:eastAsia="ro-RO"/>
              </w:rPr>
            </w:pPr>
            <w:r w:rsidRPr="005115B8">
              <w:rPr>
                <w:rFonts w:ascii="Arial" w:hAnsi="Arial" w:cs="Arial"/>
                <w:b/>
                <w:lang w:eastAsia="ro-RO"/>
              </w:rPr>
              <w:t xml:space="preserve">     </w:t>
            </w:r>
          </w:p>
          <w:p w:rsidR="00DA788E" w:rsidRPr="00EC078F" w:rsidRDefault="00DA788E" w:rsidP="0076748D">
            <w:pPr>
              <w:jc w:val="both"/>
              <w:rPr>
                <w:b/>
              </w:rPr>
            </w:pPr>
            <w:r w:rsidRPr="00EC078F">
              <w:rPr>
                <w:b/>
              </w:rPr>
              <w:t>Fonduri structurale. Experienţe ale instanţelor româneşti, cu privire particu</w:t>
            </w:r>
            <w:r>
              <w:rPr>
                <w:b/>
              </w:rPr>
              <w:t>lară asupra POR, POSDRU şi PNDR - a</w:t>
            </w:r>
            <w:r w:rsidRPr="00EC078F">
              <w:rPr>
                <w:b/>
              </w:rPr>
              <w:t xml:space="preserve">specte de drept procesual şi substanţial. Coordonate ale jurisprudenţei CJUE în materie. </w:t>
            </w:r>
            <w:r>
              <w:rPr>
                <w:b/>
              </w:rPr>
              <w:t>(I)</w:t>
            </w:r>
          </w:p>
        </w:tc>
      </w:tr>
      <w:tr w:rsidR="00DA788E" w:rsidRPr="001C1D65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>10.30 -10.45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i/>
                <w:lang w:eastAsia="ro-RO"/>
              </w:rPr>
            </w:pPr>
            <w:r w:rsidRPr="005115B8">
              <w:rPr>
                <w:rFonts w:ascii="Arial" w:hAnsi="Arial" w:cs="Arial"/>
                <w:i/>
                <w:lang w:eastAsia="ro-RO"/>
              </w:rPr>
              <w:t>Pauza de cafea</w:t>
            </w:r>
          </w:p>
        </w:tc>
      </w:tr>
      <w:tr w:rsidR="00DA788E" w:rsidRPr="001C1D65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 xml:space="preserve">10.45-12.00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b/>
                <w:lang w:eastAsia="ro-RO"/>
              </w:rPr>
            </w:pPr>
            <w:r w:rsidRPr="005115B8">
              <w:rPr>
                <w:rFonts w:ascii="Arial" w:hAnsi="Arial" w:cs="Arial"/>
                <w:b/>
                <w:lang w:eastAsia="ro-RO"/>
              </w:rPr>
              <w:t xml:space="preserve">   </w:t>
            </w:r>
          </w:p>
          <w:p w:rsidR="00DA788E" w:rsidRPr="005115B8" w:rsidRDefault="00DA788E" w:rsidP="00D74227">
            <w:pPr>
              <w:jc w:val="both"/>
              <w:rPr>
                <w:rFonts w:ascii="Arial" w:hAnsi="Arial" w:cs="Arial"/>
                <w:lang w:eastAsia="ro-RO"/>
              </w:rPr>
            </w:pPr>
            <w:r w:rsidRPr="00EC078F">
              <w:rPr>
                <w:b/>
              </w:rPr>
              <w:t>Fonduri structurale. Experienţe ale instanţelor româneşti, cu privire particulară asupra POR, POSDRU şi PNDR</w:t>
            </w:r>
            <w:r>
              <w:rPr>
                <w:b/>
              </w:rPr>
              <w:t xml:space="preserve"> - a</w:t>
            </w:r>
            <w:r w:rsidRPr="00EC078F">
              <w:rPr>
                <w:b/>
              </w:rPr>
              <w:t xml:space="preserve">specte de drept procesual şi substanţial. Coordonate ale jurisprudenţei CJUE în materie. </w:t>
            </w:r>
            <w:r>
              <w:rPr>
                <w:b/>
              </w:rPr>
              <w:t>(II)</w:t>
            </w:r>
          </w:p>
        </w:tc>
      </w:tr>
      <w:tr w:rsidR="00DA788E" w:rsidRPr="001C1D65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 xml:space="preserve">12.00-13.00 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A788E" w:rsidRDefault="00DA788E" w:rsidP="00D74227">
            <w:pPr>
              <w:spacing w:after="120"/>
              <w:jc w:val="both"/>
              <w:rPr>
                <w:b/>
              </w:rPr>
            </w:pPr>
          </w:p>
          <w:p w:rsidR="00DA788E" w:rsidRPr="00854B1B" w:rsidRDefault="00DA788E" w:rsidP="00D74227">
            <w:pPr>
              <w:spacing w:after="120"/>
              <w:jc w:val="both"/>
              <w:rPr>
                <w:rFonts w:ascii="Arial" w:hAnsi="Arial" w:cs="Arial"/>
                <w:i/>
                <w:color w:val="FF0000"/>
                <w:lang w:eastAsia="ro-RO"/>
              </w:rPr>
            </w:pPr>
            <w:r w:rsidRPr="00854B1B">
              <w:rPr>
                <w:b/>
              </w:rPr>
              <w:t>Fonduri structurale. Experienţe ale instanţelor româneşti, cu privire particu</w:t>
            </w:r>
            <w:r>
              <w:rPr>
                <w:b/>
              </w:rPr>
              <w:t>lară asupra POR, POSDRU şi PNDR - a</w:t>
            </w:r>
            <w:r w:rsidRPr="00854B1B">
              <w:rPr>
                <w:b/>
              </w:rPr>
              <w:t xml:space="preserve">specte de drept procesual şi substanţial. Coordonate ale jurisprudenţei CJUE în materie. (III) </w:t>
            </w:r>
            <w:bookmarkStart w:id="0" w:name="_GoBack"/>
            <w:bookmarkEnd w:id="0"/>
          </w:p>
        </w:tc>
      </w:tr>
      <w:tr w:rsidR="00DA788E" w:rsidRPr="001C1D65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>13.00-14.00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spacing w:after="120"/>
              <w:jc w:val="both"/>
              <w:rPr>
                <w:rFonts w:ascii="Arial" w:hAnsi="Arial" w:cs="Arial"/>
                <w:i/>
                <w:lang w:eastAsia="ro-RO"/>
              </w:rPr>
            </w:pPr>
            <w:r w:rsidRPr="005115B8">
              <w:rPr>
                <w:rFonts w:ascii="Arial" w:hAnsi="Arial" w:cs="Arial"/>
                <w:i/>
                <w:lang w:eastAsia="ro-RO"/>
              </w:rPr>
              <w:t>Pauză de prânz</w:t>
            </w:r>
          </w:p>
        </w:tc>
      </w:tr>
      <w:tr w:rsidR="00DA788E" w:rsidRPr="001C1D65" w:rsidTr="005115B8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DA788E" w:rsidRPr="005115B8" w:rsidRDefault="00DA788E" w:rsidP="005115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ro-RO"/>
              </w:rPr>
            </w:pPr>
            <w:r w:rsidRPr="005115B8">
              <w:rPr>
                <w:rFonts w:ascii="Arial" w:hAnsi="Arial" w:cs="Arial"/>
                <w:lang w:eastAsia="ro-RO"/>
              </w:rPr>
              <w:t>14.00-15.00</w:t>
            </w:r>
          </w:p>
        </w:tc>
        <w:tc>
          <w:tcPr>
            <w:tcW w:w="7947" w:type="dxa"/>
            <w:tcBorders>
              <w:left w:val="nil"/>
            </w:tcBorders>
            <w:vAlign w:val="center"/>
          </w:tcPr>
          <w:p w:rsidR="00DA788E" w:rsidRPr="005115B8" w:rsidRDefault="00DA788E" w:rsidP="005115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lang w:eastAsia="ro-RO"/>
              </w:rPr>
            </w:pPr>
            <w:r w:rsidRPr="005115B8">
              <w:rPr>
                <w:rFonts w:ascii="Arial" w:hAnsi="Arial" w:cs="Arial"/>
                <w:bCs/>
                <w:lang w:eastAsia="ro-RO"/>
              </w:rPr>
              <w:t>Concluzii. Dezbateri</w:t>
            </w:r>
          </w:p>
        </w:tc>
      </w:tr>
    </w:tbl>
    <w:p w:rsidR="00DA788E" w:rsidRDefault="00DA788E" w:rsidP="00555E63">
      <w:pPr>
        <w:jc w:val="both"/>
        <w:rPr>
          <w:rFonts w:ascii="Arial" w:hAnsi="Arial" w:cs="Arial"/>
        </w:rPr>
      </w:pPr>
    </w:p>
    <w:p w:rsidR="00DA788E" w:rsidRDefault="00DA788E" w:rsidP="00555E63">
      <w:pPr>
        <w:jc w:val="both"/>
        <w:rPr>
          <w:rFonts w:ascii="Arial" w:hAnsi="Arial" w:cs="Arial"/>
        </w:rPr>
      </w:pPr>
    </w:p>
    <w:p w:rsidR="00DA788E" w:rsidRPr="00724364" w:rsidRDefault="00DA788E" w:rsidP="00555E63">
      <w:pPr>
        <w:ind w:firstLine="720"/>
        <w:jc w:val="both"/>
        <w:rPr>
          <w:sz w:val="28"/>
          <w:szCs w:val="28"/>
        </w:rPr>
      </w:pPr>
    </w:p>
    <w:p w:rsidR="00DA788E" w:rsidRPr="00724364" w:rsidRDefault="00DA788E" w:rsidP="00555E63">
      <w:pPr>
        <w:jc w:val="both"/>
        <w:rPr>
          <w:rFonts w:ascii="Arial" w:hAnsi="Arial" w:cs="Arial"/>
        </w:rPr>
      </w:pPr>
      <w:r w:rsidRPr="00724364">
        <w:rPr>
          <w:color w:val="000000"/>
          <w:sz w:val="28"/>
          <w:szCs w:val="28"/>
        </w:rPr>
        <w:t xml:space="preserve"> </w:t>
      </w:r>
    </w:p>
    <w:p w:rsidR="00DA788E" w:rsidRDefault="00DA788E" w:rsidP="00555E63"/>
    <w:p w:rsidR="00DA788E" w:rsidRDefault="00DA788E" w:rsidP="00555E63"/>
    <w:p w:rsidR="00DA788E" w:rsidRDefault="00DA788E"/>
    <w:sectPr w:rsidR="00DA788E" w:rsidSect="00E90CE4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8E" w:rsidRDefault="00DA788E" w:rsidP="006E6747">
      <w:r>
        <w:separator/>
      </w:r>
    </w:p>
  </w:endnote>
  <w:endnote w:type="continuationSeparator" w:id="0">
    <w:p w:rsidR="00DA788E" w:rsidRDefault="00DA788E" w:rsidP="006E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8E" w:rsidRDefault="00DA788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1" o:spid="_x0000_s2049" type="#_x0000_t202" style="position:absolute;margin-left:-63pt;margin-top:16.25pt;width:44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<v:textbox>
            <w:txbxContent>
              <w:p w:rsidR="00DA788E" w:rsidRPr="008415CE" w:rsidRDefault="00DA788E" w:rsidP="00E90CE4">
                <w:pPr>
                  <w:ind w:left="-113"/>
                  <w:rPr>
                    <w:rFonts w:ascii="Arial" w:hAnsi="Arial" w:cs="Arial"/>
                    <w:sz w:val="16"/>
                    <w:szCs w:val="16"/>
                  </w:rPr>
                </w:pPr>
                <w:r w:rsidRPr="008415CE">
                  <w:rPr>
                    <w:rFonts w:ascii="Arial" w:hAnsi="Arial" w:cs="Arial"/>
                    <w:sz w:val="16"/>
                    <w:szCs w:val="16"/>
                  </w:rPr>
                  <w:t xml:space="preserve">Responsabil: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Diana Carpen, expert INM, tel. 021.4076248, e-mail: </w:t>
                </w:r>
                <w:hyperlink r:id="rId1" w:history="1">
                  <w:r w:rsidRPr="00956B5C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diana.carpen</w:t>
                  </w:r>
                  <w:r w:rsidRPr="00956B5C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US"/>
                    </w:rPr>
                    <w:t>@inm-lex.ro</w:t>
                  </w:r>
                </w:hyperlink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,</w:t>
                </w:r>
              </w:p>
              <w:p w:rsidR="00DA788E" w:rsidRPr="0066007A" w:rsidRDefault="00DA788E" w:rsidP="00E90CE4"/>
            </w:txbxContent>
          </v:textbox>
        </v:shape>
      </w:pict>
    </w:r>
    <w:r>
      <w:rPr>
        <w:noProof/>
      </w:rPr>
      <w:pict>
        <v:shape id="Casetă text 10" o:spid="_x0000_s2050" type="#_x0000_t202" style="position:absolute;margin-left:477pt;margin-top:16.25pt;width:36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<v:textbox>
            <w:txbxContent>
              <w:p w:rsidR="00DA788E" w:rsidRDefault="00DA788E" w:rsidP="00E90CE4">
                <w:pPr>
                  <w:jc w:val="right"/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begin"/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noProof/>
                    <w:color w:val="FFFFFF"/>
                    <w:sz w:val="22"/>
                    <w:szCs w:val="22"/>
                  </w:rPr>
                  <w:t>2</w: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end"/>
                </w:r>
              </w:p>
              <w:p w:rsidR="00DA788E" w:rsidRPr="009E13B2" w:rsidRDefault="00DA788E" w:rsidP="00E90CE4">
                <w:pPr>
                  <w:jc w:val="right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9" o:spid="_x0000_s2051" type="#_x0000_t75" alt="AgendaJos" style="position:absolute;margin-left:-63pt;margin-top:-10.85pt;width:8in;height:48.75pt;z-index:-251657728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8E" w:rsidRDefault="00DA788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7" o:spid="_x0000_s2053" type="#_x0000_t202" style="position:absolute;margin-left:-63pt;margin-top:16.25pt;width:441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<v:textbox>
            <w:txbxContent>
              <w:p w:rsidR="00DA788E" w:rsidRPr="007A6DF6" w:rsidRDefault="00DA788E" w:rsidP="00E90CE4">
                <w:pPr>
                  <w:ind w:left="-113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bookmarkStart w:id="1" w:name="responsabil"/>
                <w:r w:rsidRPr="008415CE">
                  <w:rPr>
                    <w:rFonts w:ascii="Arial" w:hAnsi="Arial" w:cs="Arial"/>
                    <w:sz w:val="16"/>
                    <w:szCs w:val="16"/>
                  </w:rPr>
                  <w:t xml:space="preserve">Responsabil: </w:t>
                </w:r>
                <w:bookmarkEnd w:id="1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Diana Carpen, expert INM, tel. 021.4076248, e-mail: </w:t>
                </w:r>
                <w:hyperlink r:id="rId1" w:history="1">
                  <w:r w:rsidRPr="00956B5C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diana.carpen</w:t>
                  </w:r>
                  <w:r w:rsidRPr="00956B5C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US"/>
                    </w:rPr>
                    <w:t>@inm-lex.ro</w:t>
                  </w:r>
                </w:hyperlink>
              </w:p>
            </w:txbxContent>
          </v:textbox>
        </v:shape>
      </w:pict>
    </w:r>
    <w:r>
      <w:rPr>
        <w:noProof/>
      </w:rPr>
      <w:pict>
        <v:shape id="Casetă text 6" o:spid="_x0000_s2054" type="#_x0000_t202" style="position:absolute;margin-left:477pt;margin-top:16.25pt;width:36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<v:textbox>
            <w:txbxContent>
              <w:p w:rsidR="00DA788E" w:rsidRPr="009E13B2" w:rsidRDefault="00DA788E" w:rsidP="00E90CE4">
                <w:pPr>
                  <w:jc w:val="right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begin"/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instrText xml:space="preserve"> PAGE </w:instrTex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noProof/>
                    <w:color w:val="FFFFFF"/>
                    <w:sz w:val="22"/>
                    <w:szCs w:val="22"/>
                  </w:rPr>
                  <w:t>1</w:t>
                </w:r>
                <w:r w:rsidRPr="009E13B2">
                  <w:rPr>
                    <w:rStyle w:val="PageNumber"/>
                    <w:rFonts w:ascii="Arial" w:hAnsi="Arial" w:cs="Arial"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5" o:spid="_x0000_s2055" type="#_x0000_t75" alt="AgendaJos" style="position:absolute;margin-left:-63pt;margin-top:-10.75pt;width:8in;height:48.75pt;z-index:-251655680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8E" w:rsidRDefault="00DA788E" w:rsidP="006E6747">
      <w:r>
        <w:separator/>
      </w:r>
    </w:p>
  </w:footnote>
  <w:footnote w:type="continuationSeparator" w:id="0">
    <w:p w:rsidR="00DA788E" w:rsidRDefault="00DA788E" w:rsidP="006E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8E" w:rsidRDefault="00DA788E">
    <w:pPr>
      <w:pStyle w:val="Header"/>
    </w:pPr>
    <w:r w:rsidRPr="00BA74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4" o:spid="_x0000_i1029" type="#_x0000_t75" alt="Agenda" style="width:448.5pt;height:153.75pt;visibility:visible">
          <v:imagedata r:id="rId1" o:title=""/>
        </v:shape>
      </w:pict>
    </w:r>
    <w:r w:rsidRPr="00BA740B">
      <w:rPr>
        <w:noProof/>
      </w:rPr>
      <w:pict>
        <v:shape id="Imagine 3" o:spid="_x0000_i1030" type="#_x0000_t75" alt="Agenda" style="width:448.5pt;height:153.75pt;visibility:visible">
          <v:imagedata r:id="rId1" o:title=""/>
        </v:shape>
      </w:pict>
    </w:r>
    <w:r w:rsidRPr="00BA740B">
      <w:rPr>
        <w:noProof/>
      </w:rPr>
      <w:pict>
        <v:shape id="Imagine 2" o:spid="_x0000_i1031" type="#_x0000_t75" alt="Agenda" style="width:448.5pt;height:153.75pt;visibility:visible">
          <v:imagedata r:id="rId1" o:title=""/>
        </v:shape>
      </w:pict>
    </w:r>
    <w:r w:rsidRPr="00BA740B">
      <w:rPr>
        <w:noProof/>
      </w:rPr>
      <w:pict>
        <v:shape id="Imagine 1" o:spid="_x0000_i1032" type="#_x0000_t75" alt="Agenda" style="width:448.5pt;height:153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8E" w:rsidRDefault="00DA78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8" o:spid="_x0000_s2052" type="#_x0000_t75" alt="Agenda" style="position:absolute;margin-left:-63pt;margin-top:-27.55pt;width:8in;height:189pt;z-index:-25165670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C6B"/>
    <w:multiLevelType w:val="hybridMultilevel"/>
    <w:tmpl w:val="89B68DE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B794F"/>
    <w:multiLevelType w:val="hybridMultilevel"/>
    <w:tmpl w:val="54746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922B6"/>
    <w:multiLevelType w:val="hybridMultilevel"/>
    <w:tmpl w:val="2DA687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63"/>
    <w:rsid w:val="000A4578"/>
    <w:rsid w:val="000E49BA"/>
    <w:rsid w:val="001C1D65"/>
    <w:rsid w:val="00257F18"/>
    <w:rsid w:val="00426C18"/>
    <w:rsid w:val="004C68AB"/>
    <w:rsid w:val="005115B8"/>
    <w:rsid w:val="00526816"/>
    <w:rsid w:val="00555E63"/>
    <w:rsid w:val="00557534"/>
    <w:rsid w:val="005C5FD0"/>
    <w:rsid w:val="005E0530"/>
    <w:rsid w:val="0066007A"/>
    <w:rsid w:val="00673AF6"/>
    <w:rsid w:val="006C6FF2"/>
    <w:rsid w:val="006E6747"/>
    <w:rsid w:val="00724364"/>
    <w:rsid w:val="00753301"/>
    <w:rsid w:val="0076273C"/>
    <w:rsid w:val="0076748D"/>
    <w:rsid w:val="007A6DF6"/>
    <w:rsid w:val="0083429A"/>
    <w:rsid w:val="008415CE"/>
    <w:rsid w:val="00854B1B"/>
    <w:rsid w:val="00922DE0"/>
    <w:rsid w:val="00937579"/>
    <w:rsid w:val="00956B5C"/>
    <w:rsid w:val="00962B5A"/>
    <w:rsid w:val="009E13B2"/>
    <w:rsid w:val="00B73524"/>
    <w:rsid w:val="00BA740B"/>
    <w:rsid w:val="00C074B1"/>
    <w:rsid w:val="00D0137E"/>
    <w:rsid w:val="00D74227"/>
    <w:rsid w:val="00DA788E"/>
    <w:rsid w:val="00E268BA"/>
    <w:rsid w:val="00E90CE4"/>
    <w:rsid w:val="00EC078F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6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E63"/>
    <w:pPr>
      <w:tabs>
        <w:tab w:val="center" w:pos="4536"/>
        <w:tab w:val="right" w:pos="9072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5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55E63"/>
    <w:pPr>
      <w:tabs>
        <w:tab w:val="center" w:pos="4536"/>
        <w:tab w:val="right" w:pos="9072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5E63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555E63"/>
    <w:rPr>
      <w:rFonts w:cs="Times New Roman"/>
    </w:rPr>
  </w:style>
  <w:style w:type="table" w:styleId="TableGrid">
    <w:name w:val="Table Grid"/>
    <w:basedOn w:val="TableNormal"/>
    <w:uiPriority w:val="99"/>
    <w:rsid w:val="00555E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55E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273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bogasiu</cp:lastModifiedBy>
  <cp:revision>3</cp:revision>
  <dcterms:created xsi:type="dcterms:W3CDTF">2015-05-22T08:59:00Z</dcterms:created>
  <dcterms:modified xsi:type="dcterms:W3CDTF">2015-05-22T09:01:00Z</dcterms:modified>
</cp:coreProperties>
</file>