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</w:t>
      </w: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</w:t>
      </w:r>
    </w:p>
    <w:p w:rsidR="00472F4B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>ANUNŢ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PRIVIND REZULTATUL PROCEDURII DE SELECŢIE</w:t>
      </w:r>
    </w:p>
    <w:p w:rsidR="00CC5E3F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5E49C1" w:rsidRPr="00BE4F24" w:rsidRDefault="005E49C1" w:rsidP="005E49C1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</w:rPr>
      </w:pPr>
      <w:r>
        <w:rPr>
          <w:rFonts w:ascii="Arial Narrow" w:hAnsi="Arial Narrow" w:cs="Arial"/>
          <w:b/>
          <w:color w:val="365F91"/>
        </w:rPr>
        <w:t xml:space="preserve">                 </w:t>
      </w:r>
      <w:r w:rsidRPr="00BE4F24">
        <w:rPr>
          <w:rFonts w:ascii="Arial Narrow" w:hAnsi="Arial Narrow" w:cs="Arial"/>
          <w:b/>
          <w:color w:val="365F91"/>
        </w:rPr>
        <w:t>Mecanismul Financiar Norvegian 2009-2014</w:t>
      </w:r>
    </w:p>
    <w:p w:rsidR="005E49C1" w:rsidRPr="00BE4F24" w:rsidRDefault="005E49C1" w:rsidP="005E49C1">
      <w:pPr>
        <w:tabs>
          <w:tab w:val="left" w:pos="0"/>
        </w:tabs>
        <w:ind w:left="274" w:right="994"/>
        <w:jc w:val="center"/>
        <w:rPr>
          <w:rFonts w:ascii="Arial Narrow" w:hAnsi="Arial Narrow" w:cs="Arial"/>
          <w:b/>
          <w:i/>
          <w:color w:val="365F91"/>
        </w:rPr>
      </w:pPr>
      <w:r>
        <w:rPr>
          <w:rFonts w:ascii="Arial Narrow" w:hAnsi="Arial Narrow" w:cs="Arial"/>
          <w:b/>
          <w:i/>
          <w:color w:val="365F91"/>
        </w:rPr>
        <w:t xml:space="preserve">             </w:t>
      </w:r>
      <w:r w:rsidRPr="00BE4F24">
        <w:rPr>
          <w:rFonts w:ascii="Arial Narrow" w:hAnsi="Arial Narrow" w:cs="Arial"/>
          <w:b/>
          <w:i/>
          <w:color w:val="365F91"/>
        </w:rPr>
        <w:t>Programul RO 24 „Întărirea capacității judiciare și cooperare”</w:t>
      </w:r>
    </w:p>
    <w:p w:rsidR="005E49C1" w:rsidRPr="00CC1B18" w:rsidRDefault="005E49C1" w:rsidP="00CC1B18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</w:rPr>
      </w:pPr>
      <w:r w:rsidRPr="00BE4F24">
        <w:rPr>
          <w:rFonts w:ascii="Arial Narrow" w:hAnsi="Arial Narrow" w:cs="Arial"/>
          <w:b/>
          <w:i/>
          <w:color w:val="365F91"/>
        </w:rPr>
        <w:t>Proiectul „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Întărirea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capacității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sistemului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judiciar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românesc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de a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răspunde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provocărilor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noilor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schimbări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legislative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și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instituționale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>/Strengthening the capacity of the Romanian judicial system to face new legislative and institutional challenges</w:t>
      </w:r>
      <w:r w:rsidRPr="00BE4F24">
        <w:rPr>
          <w:rFonts w:ascii="Arial Narrow" w:hAnsi="Arial Narrow" w:cs="Arial"/>
          <w:b/>
          <w:i/>
          <w:color w:val="365F91"/>
        </w:rPr>
        <w:t xml:space="preserve">” </w:t>
      </w:r>
    </w:p>
    <w:p w:rsidR="006A2397" w:rsidRPr="00CC1B18" w:rsidRDefault="006A2397" w:rsidP="005E49C1">
      <w:pPr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Procedura de selecție a unor experţi specializați  în domeniile Noului Cod Penal şi Noului Cod de Procedură Penală în vederea participării la activităţile de formare </w:t>
      </w:r>
      <w:r w:rsidR="004A1009"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continuă </w:t>
      </w:r>
      <w:r w:rsidRPr="00CC1B18">
        <w:rPr>
          <w:rFonts w:ascii="Arial Narrow" w:hAnsi="Arial Narrow" w:cs="Arial"/>
          <w:b/>
          <w:bCs/>
          <w:i/>
          <w:sz w:val="24"/>
          <w:szCs w:val="24"/>
        </w:rPr>
        <w:t xml:space="preserve">organizate în aceste domenii în cadrul proiectului </w:t>
      </w:r>
    </w:p>
    <w:p w:rsidR="00472F4B" w:rsidRPr="00CC1B18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2067E7" w:rsidRPr="002067E7" w:rsidRDefault="002067E7" w:rsidP="00206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2067E7">
        <w:rPr>
          <w:rFonts w:ascii="Arial Narrow" w:hAnsi="Arial Narrow" w:cs="Arial Narrow"/>
          <w:sz w:val="24"/>
          <w:szCs w:val="24"/>
        </w:rPr>
        <w:t xml:space="preserve">La data de 21 septembrie 2016 a fost declanşată, cu respectarea formelor de publicitate (publicare pe site-ul Institutului Naţional al Magistraturii şi pe site-ul Consiliului Superior al Magistraturii), procedura de selecţie a </w:t>
      </w:r>
      <w:r w:rsidR="004A5DF7">
        <w:rPr>
          <w:rFonts w:ascii="Arial Narrow" w:hAnsi="Arial Narrow" w:cs="Arial Narrow"/>
          <w:sz w:val="24"/>
          <w:szCs w:val="24"/>
        </w:rPr>
        <w:t xml:space="preserve">opt </w:t>
      </w:r>
      <w:r w:rsidRPr="002067E7">
        <w:rPr>
          <w:rFonts w:ascii="Arial Narrow" w:hAnsi="Arial Narrow" w:cs="Arial Narrow"/>
          <w:sz w:val="24"/>
          <w:szCs w:val="24"/>
        </w:rPr>
        <w:t>experţi specializați în domeniile Noului Cod Penal şi Noului Cod de Procedură Penală în vederea participării la activităţile de formare continuă, termenul limită pentru depunerea candidaturilor fiind 03 octombrie 2016.</w:t>
      </w:r>
    </w:p>
    <w:p w:rsidR="002067E7" w:rsidRPr="002067E7" w:rsidRDefault="002067E7" w:rsidP="00206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2067E7" w:rsidRPr="002067E7" w:rsidRDefault="002067E7" w:rsidP="00206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2067E7">
        <w:rPr>
          <w:rFonts w:ascii="Arial Narrow" w:hAnsi="Arial Narrow" w:cs="Arial Narrow"/>
          <w:sz w:val="24"/>
          <w:szCs w:val="24"/>
        </w:rPr>
        <w:t xml:space="preserve">În urma publicării anunţului, a fost înregistrată o candidatură, respectiv: </w:t>
      </w:r>
      <w:r w:rsidRPr="002067E7">
        <w:rPr>
          <w:rFonts w:ascii="Arial Narrow" w:hAnsi="Arial Narrow" w:cs="Arial Narrow"/>
          <w:b/>
          <w:sz w:val="24"/>
          <w:szCs w:val="24"/>
        </w:rPr>
        <w:t>ANDRA-ROXANA TRANDAFIR</w:t>
      </w:r>
    </w:p>
    <w:p w:rsidR="00174650" w:rsidRPr="00CC1B18" w:rsidRDefault="00174650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2067E7" w:rsidRDefault="002067E7" w:rsidP="00CC1B1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B10AD8">
        <w:rPr>
          <w:rFonts w:ascii="Arial Narrow" w:hAnsi="Arial Narrow" w:cs="Arial Narrow"/>
          <w:sz w:val="24"/>
          <w:szCs w:val="24"/>
        </w:rPr>
        <w:t xml:space="preserve">Comisia de evaluare, numită prin Decizia Preşedintelui Consiliului Superior al Magistraturii nr. 37/11.05.2016, s-a întrunit </w:t>
      </w:r>
      <w:r>
        <w:rPr>
          <w:rFonts w:ascii="Arial Narrow" w:hAnsi="Arial Narrow" w:cs="Arial Narrow"/>
          <w:sz w:val="24"/>
          <w:szCs w:val="24"/>
        </w:rPr>
        <w:t>în data de 07 octombrie 2016.</w:t>
      </w:r>
      <w:r w:rsidRPr="00B10AD8">
        <w:rPr>
          <w:rFonts w:ascii="Arial Narrow" w:hAnsi="Arial Narrow" w:cs="Arial Narrow"/>
          <w:sz w:val="24"/>
          <w:szCs w:val="24"/>
        </w:rPr>
        <w:t xml:space="preserve"> </w:t>
      </w:r>
    </w:p>
    <w:p w:rsidR="00B13959" w:rsidRPr="00CC1B18" w:rsidRDefault="002067E7" w:rsidP="00CC1B1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6C6E91" w:rsidRPr="00CC1B18">
        <w:rPr>
          <w:rFonts w:ascii="Arial Narrow" w:hAnsi="Arial Narrow" w:cs="Arial Narrow"/>
          <w:sz w:val="24"/>
          <w:szCs w:val="24"/>
        </w:rPr>
        <w:t xml:space="preserve"> fo</w:t>
      </w:r>
      <w:r w:rsidR="00CC1B18" w:rsidRPr="00CC1B18">
        <w:rPr>
          <w:rFonts w:ascii="Arial Narrow" w:hAnsi="Arial Narrow" w:cs="Arial Narrow"/>
          <w:sz w:val="24"/>
          <w:szCs w:val="24"/>
        </w:rPr>
        <w:t xml:space="preserve">st evaluat dosarul de candidatură depus de către </w:t>
      </w:r>
      <w:r w:rsidR="00BA1047">
        <w:rPr>
          <w:rFonts w:ascii="Arial Narrow" w:hAnsi="Arial Narrow" w:cs="Arial Narrow"/>
          <w:sz w:val="24"/>
          <w:szCs w:val="24"/>
        </w:rPr>
        <w:t xml:space="preserve">candidatul </w:t>
      </w:r>
      <w:r w:rsidRPr="002067E7">
        <w:rPr>
          <w:rFonts w:ascii="Arial Narrow" w:hAnsi="Arial Narrow" w:cs="Arial Narrow"/>
          <w:sz w:val="24"/>
          <w:szCs w:val="24"/>
        </w:rPr>
        <w:t>ANDRA-ROXANA TRANDAFIR</w:t>
      </w:r>
      <w:r w:rsidR="00CC1B18" w:rsidRPr="00CC1B18">
        <w:rPr>
          <w:rFonts w:ascii="Arial Narrow" w:hAnsi="Arial Narrow" w:cs="Arial Narrow"/>
          <w:sz w:val="24"/>
          <w:szCs w:val="24"/>
        </w:rPr>
        <w:t xml:space="preserve">, verificându-se </w:t>
      </w:r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îndeplinirea cerinţelor minime de calificare şi acordându-se punctaje conform algoritmilor de calcul precizaţi pentru toţi factorii tehnici de evaluare menţionaţi în invitaţia de participare/caietul de sarcini, precum şi pentru oferta financiară. </w:t>
      </w:r>
    </w:p>
    <w:p w:rsidR="00611438" w:rsidRPr="00CC1B18" w:rsidRDefault="00611438" w:rsidP="00CC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CC1B18">
        <w:rPr>
          <w:rFonts w:ascii="Arial Narrow" w:eastAsia="Times New Roman" w:hAnsi="Arial Narrow" w:cs="TimesNewRoman,Bold"/>
          <w:bCs/>
          <w:sz w:val="24"/>
          <w:szCs w:val="24"/>
        </w:rPr>
        <w:t xml:space="preserve">În </w:t>
      </w:r>
      <w:r w:rsidR="00CC1B18" w:rsidRPr="00CC1B18">
        <w:rPr>
          <w:rFonts w:ascii="Arial Narrow" w:eastAsia="Times New Roman" w:hAnsi="Arial Narrow" w:cs="TimesNewRoman,Bold"/>
          <w:bCs/>
          <w:sz w:val="24"/>
          <w:szCs w:val="24"/>
        </w:rPr>
        <w:t xml:space="preserve">urma evaluării, </w:t>
      </w:r>
      <w:r w:rsidR="00CC1B18" w:rsidRPr="00CC1B18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comisia a decis </w:t>
      </w:r>
      <w:r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selectarea </w:t>
      </w:r>
      <w:r w:rsidR="00CC1B18"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doamnei </w:t>
      </w:r>
      <w:r w:rsidR="002067E7" w:rsidRPr="002067E7">
        <w:rPr>
          <w:rFonts w:ascii="Arial Narrow" w:hAnsi="Arial Narrow" w:cs="TimesNewRoman,Bold"/>
          <w:b/>
          <w:bCs/>
          <w:sz w:val="24"/>
          <w:szCs w:val="24"/>
        </w:rPr>
        <w:t xml:space="preserve">ANDRA-ROXANA TRANDAFIR </w:t>
      </w:r>
      <w:r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în vederea participării ca </w:t>
      </w:r>
      <w:r w:rsidR="00CC1B18" w:rsidRPr="00CC1B18">
        <w:rPr>
          <w:rFonts w:ascii="Arial Narrow" w:hAnsi="Arial Narrow" w:cs="TimesNewRoman,Bold"/>
          <w:b/>
          <w:bCs/>
          <w:sz w:val="24"/>
          <w:szCs w:val="24"/>
        </w:rPr>
        <w:t>expert specializat</w:t>
      </w:r>
      <w:r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 în </w:t>
      </w:r>
      <w:r w:rsidR="00CC1B18" w:rsidRPr="00CC1B18">
        <w:rPr>
          <w:rFonts w:ascii="Arial Narrow" w:hAnsi="Arial Narrow" w:cs="Arial Narrow"/>
          <w:b/>
          <w:sz w:val="24"/>
          <w:szCs w:val="24"/>
        </w:rPr>
        <w:t>domeniul</w:t>
      </w:r>
      <w:r w:rsidRPr="00CC1B18">
        <w:rPr>
          <w:rFonts w:ascii="Arial Narrow" w:hAnsi="Arial Narrow" w:cs="Arial Narrow"/>
          <w:b/>
          <w:sz w:val="24"/>
          <w:szCs w:val="24"/>
        </w:rPr>
        <w:t xml:space="preserve"> Noului Cod Penal şi Noului Cod de Procedură Penală</w:t>
      </w:r>
      <w:r w:rsidR="00CC1B18" w:rsidRPr="00CC1B18">
        <w:rPr>
          <w:rFonts w:ascii="Arial Narrow" w:hAnsi="Arial Narrow" w:cs="TimesNewRoman,Bold"/>
          <w:b/>
          <w:bCs/>
          <w:sz w:val="24"/>
          <w:szCs w:val="24"/>
        </w:rPr>
        <w:t xml:space="preserve">, </w:t>
      </w:r>
      <w:r w:rsidR="00CC1B18" w:rsidRPr="00CC1B18">
        <w:rPr>
          <w:rFonts w:ascii="Arial Narrow" w:hAnsi="Arial Narrow" w:cs="TimesNewRoman,Bold"/>
          <w:bCs/>
          <w:sz w:val="24"/>
          <w:szCs w:val="24"/>
        </w:rPr>
        <w:t xml:space="preserve">în cadrul proiectului. </w:t>
      </w:r>
    </w:p>
    <w:p w:rsidR="00611438" w:rsidRDefault="00611438" w:rsidP="0061143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TimesNewRoman,Bold"/>
          <w:bCs/>
          <w:color w:val="FF0000"/>
        </w:rPr>
      </w:pPr>
    </w:p>
    <w:p w:rsidR="00421984" w:rsidRPr="00611438" w:rsidRDefault="00421984" w:rsidP="0061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i/>
          <w:sz w:val="24"/>
          <w:szCs w:val="24"/>
        </w:rPr>
      </w:pPr>
    </w:p>
    <w:p w:rsidR="00611438" w:rsidRDefault="00611438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174650" w:rsidRDefault="00080AF0" w:rsidP="00BE2B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Bold"/>
          <w:bCs/>
          <w:color w:val="FF0000"/>
          <w:sz w:val="24"/>
          <w:szCs w:val="24"/>
        </w:rPr>
      </w:pPr>
      <w:r w:rsidRPr="00174650">
        <w:rPr>
          <w:rFonts w:ascii="Arial Narrow" w:hAnsi="Arial Narrow" w:cs="TimesNewRoman,Bold"/>
          <w:bCs/>
          <w:color w:val="FF0000"/>
          <w:sz w:val="24"/>
          <w:szCs w:val="24"/>
        </w:rPr>
        <w:t xml:space="preserve"> </w:t>
      </w:r>
    </w:p>
    <w:sectPr w:rsidR="00B13959" w:rsidRPr="00174650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5C" w:rsidRDefault="0066635C" w:rsidP="00D509C2">
      <w:pPr>
        <w:spacing w:after="0" w:line="240" w:lineRule="auto"/>
      </w:pPr>
      <w:r>
        <w:separator/>
      </w:r>
    </w:p>
  </w:endnote>
  <w:endnote w:type="continuationSeparator" w:id="0">
    <w:p w:rsidR="0066635C" w:rsidRDefault="0066635C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43" w:type="dxa"/>
        <w:right w:w="58" w:type="dxa"/>
      </w:tblCellMar>
      <w:tblLook w:val="04A0" w:firstRow="1" w:lastRow="0" w:firstColumn="1" w:lastColumn="0" w:noHBand="0" w:noVBand="1"/>
    </w:tblPr>
    <w:tblGrid>
      <w:gridCol w:w="1636"/>
      <w:gridCol w:w="1637"/>
      <w:gridCol w:w="1637"/>
      <w:gridCol w:w="1637"/>
      <w:gridCol w:w="1637"/>
      <w:gridCol w:w="1637"/>
    </w:tblGrid>
    <w:tr w:rsidR="00C90697" w:rsidRPr="00384E63">
      <w:trPr>
        <w:trHeight w:val="900"/>
        <w:jc w:val="center"/>
      </w:trPr>
      <w:tc>
        <w:tcPr>
          <w:tcW w:w="1636" w:type="dxa"/>
          <w:shd w:val="clear" w:color="auto" w:fill="auto"/>
          <w:vAlign w:val="bottom"/>
        </w:tcPr>
        <w:p w:rsidR="00C90697" w:rsidRPr="00384E63" w:rsidRDefault="000B5625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drawing>
              <wp:inline distT="0" distB="0" distL="0" distR="0">
                <wp:extent cx="1019175" cy="542925"/>
                <wp:effectExtent l="0" t="0" r="9525" b="9525"/>
                <wp:docPr id="2" name="Picture 2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638175" cy="504825"/>
                <wp:effectExtent l="0" t="0" r="0" b="9525"/>
                <wp:docPr id="3" name="Picture 3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76275" cy="457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191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495300" cy="447675"/>
                <wp:effectExtent l="0" t="0" r="0" b="9525"/>
                <wp:docPr id="6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val="en-US"/>
            </w:rPr>
            <w:drawing>
              <wp:inline distT="0" distB="0" distL="0" distR="0">
                <wp:extent cx="904875" cy="276225"/>
                <wp:effectExtent l="0" t="0" r="0" b="9525"/>
                <wp:docPr id="7" name="Picture 7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0697" w:rsidRPr="00D0656B" w:rsidRDefault="00C90697" w:rsidP="001218C4">
    <w:pPr>
      <w:pStyle w:val="Footer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r w:rsidR="006E268C" w:rsidRPr="00D0656B">
      <w:rPr>
        <w:rFonts w:ascii="Arial Narrow" w:hAnsi="Arial Narrow"/>
        <w:i/>
        <w:sz w:val="20"/>
        <w:szCs w:val="20"/>
      </w:rPr>
      <w:t>cofinanțat</w:t>
    </w:r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r w:rsidR="006E268C" w:rsidRPr="00D0656B">
      <w:rPr>
        <w:rFonts w:ascii="Arial Narrow" w:hAnsi="Arial Narrow"/>
        <w:i/>
        <w:sz w:val="20"/>
        <w:szCs w:val="20"/>
      </w:rPr>
      <w:t>și</w:t>
    </w:r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5C" w:rsidRDefault="0066635C" w:rsidP="00D509C2">
      <w:pPr>
        <w:spacing w:after="0" w:line="240" w:lineRule="auto"/>
      </w:pPr>
      <w:r>
        <w:separator/>
      </w:r>
    </w:p>
  </w:footnote>
  <w:footnote w:type="continuationSeparator" w:id="0">
    <w:p w:rsidR="0066635C" w:rsidRDefault="0066635C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7" w:rsidRDefault="00EF3645">
    <w:pPr>
      <w:pStyle w:val="Header"/>
    </w:pPr>
    <w:r w:rsidRPr="00D1064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498B83" wp14:editId="0D7A0320">
          <wp:simplePos x="0" y="0"/>
          <wp:positionH relativeFrom="column">
            <wp:posOffset>1000125</wp:posOffset>
          </wp:positionH>
          <wp:positionV relativeFrom="paragraph">
            <wp:posOffset>-38100</wp:posOffset>
          </wp:positionV>
          <wp:extent cx="828675" cy="742950"/>
          <wp:effectExtent l="0" t="0" r="9525" b="0"/>
          <wp:wrapNone/>
          <wp:docPr id="1" name="Picture 2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5A7BBCCE" wp14:editId="58071ED3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944245" cy="798195"/>
          <wp:effectExtent l="0" t="0" r="8255" b="1905"/>
          <wp:wrapNone/>
          <wp:docPr id="8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25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5F3B817" wp14:editId="41E9F750">
          <wp:simplePos x="0" y="0"/>
          <wp:positionH relativeFrom="margin">
            <wp:posOffset>4762500</wp:posOffset>
          </wp:positionH>
          <wp:positionV relativeFrom="margin">
            <wp:posOffset>-1178560</wp:posOffset>
          </wp:positionV>
          <wp:extent cx="1301115" cy="1301115"/>
          <wp:effectExtent l="0" t="0" r="0" b="0"/>
          <wp:wrapNone/>
          <wp:docPr id="9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E1702"/>
    <w:multiLevelType w:val="hybridMultilevel"/>
    <w:tmpl w:val="C5DAC0D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B0847"/>
    <w:multiLevelType w:val="hybridMultilevel"/>
    <w:tmpl w:val="E78EE1D4"/>
    <w:lvl w:ilvl="0" w:tplc="7D22136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4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5"/>
  </w:num>
  <w:num w:numId="13">
    <w:abstractNumId w:val="23"/>
  </w:num>
  <w:num w:numId="14">
    <w:abstractNumId w:val="24"/>
  </w:num>
  <w:num w:numId="15">
    <w:abstractNumId w:val="27"/>
  </w:num>
  <w:num w:numId="16">
    <w:abstractNumId w:val="12"/>
  </w:num>
  <w:num w:numId="17">
    <w:abstractNumId w:val="22"/>
  </w:num>
  <w:num w:numId="18">
    <w:abstractNumId w:val="16"/>
  </w:num>
  <w:num w:numId="19">
    <w:abstractNumId w:val="7"/>
  </w:num>
  <w:num w:numId="20">
    <w:abstractNumId w:val="25"/>
  </w:num>
  <w:num w:numId="21">
    <w:abstractNumId w:val="31"/>
  </w:num>
  <w:num w:numId="22">
    <w:abstractNumId w:val="3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30"/>
  </w:num>
  <w:num w:numId="27">
    <w:abstractNumId w:val="34"/>
  </w:num>
  <w:num w:numId="28">
    <w:abstractNumId w:val="8"/>
  </w:num>
  <w:num w:numId="29">
    <w:abstractNumId w:val="28"/>
  </w:num>
  <w:num w:numId="30">
    <w:abstractNumId w:val="9"/>
  </w:num>
  <w:num w:numId="31">
    <w:abstractNumId w:val="1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20"/>
  </w:num>
  <w:num w:numId="37">
    <w:abstractNumId w:val="2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77C2A"/>
    <w:rsid w:val="00080AF0"/>
    <w:rsid w:val="000814A4"/>
    <w:rsid w:val="00083276"/>
    <w:rsid w:val="00083EA1"/>
    <w:rsid w:val="00085387"/>
    <w:rsid w:val="0009398D"/>
    <w:rsid w:val="00097317"/>
    <w:rsid w:val="0009747F"/>
    <w:rsid w:val="000A23A8"/>
    <w:rsid w:val="000B0CA4"/>
    <w:rsid w:val="000B4409"/>
    <w:rsid w:val="000B5625"/>
    <w:rsid w:val="000C0E6B"/>
    <w:rsid w:val="000C0F1C"/>
    <w:rsid w:val="000C6D80"/>
    <w:rsid w:val="000D0CA5"/>
    <w:rsid w:val="000D6183"/>
    <w:rsid w:val="000F152E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4650"/>
    <w:rsid w:val="00177023"/>
    <w:rsid w:val="00177497"/>
    <w:rsid w:val="00191DBF"/>
    <w:rsid w:val="001A3F8B"/>
    <w:rsid w:val="001A5551"/>
    <w:rsid w:val="001A7E61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67E7"/>
    <w:rsid w:val="002076A8"/>
    <w:rsid w:val="0021048E"/>
    <w:rsid w:val="00212E4D"/>
    <w:rsid w:val="00214BFC"/>
    <w:rsid w:val="00216C02"/>
    <w:rsid w:val="0022500B"/>
    <w:rsid w:val="00237BD2"/>
    <w:rsid w:val="00252CC3"/>
    <w:rsid w:val="00276E81"/>
    <w:rsid w:val="0028210B"/>
    <w:rsid w:val="00285984"/>
    <w:rsid w:val="0029300F"/>
    <w:rsid w:val="00295331"/>
    <w:rsid w:val="00296614"/>
    <w:rsid w:val="00296AD5"/>
    <w:rsid w:val="002A47CF"/>
    <w:rsid w:val="002B12F1"/>
    <w:rsid w:val="002B197C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5DBA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4ED6"/>
    <w:rsid w:val="00421984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1009"/>
    <w:rsid w:val="004A49E6"/>
    <w:rsid w:val="004A58FB"/>
    <w:rsid w:val="004A5DF7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0866"/>
    <w:rsid w:val="0052448F"/>
    <w:rsid w:val="005420FE"/>
    <w:rsid w:val="00544EC9"/>
    <w:rsid w:val="00545085"/>
    <w:rsid w:val="00545765"/>
    <w:rsid w:val="0054739F"/>
    <w:rsid w:val="00553234"/>
    <w:rsid w:val="00565E1A"/>
    <w:rsid w:val="00570CE2"/>
    <w:rsid w:val="005737CC"/>
    <w:rsid w:val="00576D1D"/>
    <w:rsid w:val="00585589"/>
    <w:rsid w:val="00597866"/>
    <w:rsid w:val="005A0DD8"/>
    <w:rsid w:val="005B1320"/>
    <w:rsid w:val="005B25D2"/>
    <w:rsid w:val="005C5E31"/>
    <w:rsid w:val="005D62E8"/>
    <w:rsid w:val="005E24BB"/>
    <w:rsid w:val="005E49C1"/>
    <w:rsid w:val="005F63EA"/>
    <w:rsid w:val="00611438"/>
    <w:rsid w:val="00612937"/>
    <w:rsid w:val="00624FB5"/>
    <w:rsid w:val="0063098A"/>
    <w:rsid w:val="006311B2"/>
    <w:rsid w:val="0063502A"/>
    <w:rsid w:val="00653A8D"/>
    <w:rsid w:val="00660D13"/>
    <w:rsid w:val="0066635C"/>
    <w:rsid w:val="00670237"/>
    <w:rsid w:val="00672D1B"/>
    <w:rsid w:val="006761CC"/>
    <w:rsid w:val="00687AE6"/>
    <w:rsid w:val="00697B1D"/>
    <w:rsid w:val="006A0A2A"/>
    <w:rsid w:val="006A11D3"/>
    <w:rsid w:val="006A1EDE"/>
    <w:rsid w:val="006A2397"/>
    <w:rsid w:val="006B1902"/>
    <w:rsid w:val="006B2B05"/>
    <w:rsid w:val="006B5AA7"/>
    <w:rsid w:val="006C2013"/>
    <w:rsid w:val="006C529B"/>
    <w:rsid w:val="006C59F4"/>
    <w:rsid w:val="006C6E91"/>
    <w:rsid w:val="006D151B"/>
    <w:rsid w:val="006D3AAA"/>
    <w:rsid w:val="006D55EA"/>
    <w:rsid w:val="006D72DB"/>
    <w:rsid w:val="006E268C"/>
    <w:rsid w:val="006E4A00"/>
    <w:rsid w:val="006F35B6"/>
    <w:rsid w:val="006F66A1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5FFD"/>
    <w:rsid w:val="00773C8A"/>
    <w:rsid w:val="00792F7B"/>
    <w:rsid w:val="007A317E"/>
    <w:rsid w:val="007B2133"/>
    <w:rsid w:val="007C60AE"/>
    <w:rsid w:val="007D5520"/>
    <w:rsid w:val="007E27E5"/>
    <w:rsid w:val="007E498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64AD"/>
    <w:rsid w:val="008702C8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4B0B"/>
    <w:rsid w:val="008B737F"/>
    <w:rsid w:val="008C0371"/>
    <w:rsid w:val="008C4880"/>
    <w:rsid w:val="008D5811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23AC"/>
    <w:rsid w:val="00A93421"/>
    <w:rsid w:val="00AA2C2C"/>
    <w:rsid w:val="00AA5430"/>
    <w:rsid w:val="00AB7D54"/>
    <w:rsid w:val="00AC039D"/>
    <w:rsid w:val="00AC1C01"/>
    <w:rsid w:val="00AC3820"/>
    <w:rsid w:val="00AC6EAF"/>
    <w:rsid w:val="00AD1D34"/>
    <w:rsid w:val="00AD6B4A"/>
    <w:rsid w:val="00AE5133"/>
    <w:rsid w:val="00AE647E"/>
    <w:rsid w:val="00AF222C"/>
    <w:rsid w:val="00B0071F"/>
    <w:rsid w:val="00B0696B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143C"/>
    <w:rsid w:val="00B6723D"/>
    <w:rsid w:val="00B7254C"/>
    <w:rsid w:val="00B76FF3"/>
    <w:rsid w:val="00B97D93"/>
    <w:rsid w:val="00BA1047"/>
    <w:rsid w:val="00BA25AF"/>
    <w:rsid w:val="00BA3165"/>
    <w:rsid w:val="00BA345B"/>
    <w:rsid w:val="00BB1D1F"/>
    <w:rsid w:val="00BB77C3"/>
    <w:rsid w:val="00BC0D67"/>
    <w:rsid w:val="00BC2479"/>
    <w:rsid w:val="00BC3211"/>
    <w:rsid w:val="00BD7F04"/>
    <w:rsid w:val="00BE2B02"/>
    <w:rsid w:val="00BF0980"/>
    <w:rsid w:val="00BF0E0B"/>
    <w:rsid w:val="00BF1934"/>
    <w:rsid w:val="00C03BBD"/>
    <w:rsid w:val="00C07E45"/>
    <w:rsid w:val="00C13B2B"/>
    <w:rsid w:val="00C149C5"/>
    <w:rsid w:val="00C162AA"/>
    <w:rsid w:val="00C22A17"/>
    <w:rsid w:val="00C23CC9"/>
    <w:rsid w:val="00C27F24"/>
    <w:rsid w:val="00C3083B"/>
    <w:rsid w:val="00C3494D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1B18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16B7"/>
    <w:rsid w:val="00E024AB"/>
    <w:rsid w:val="00E02C2F"/>
    <w:rsid w:val="00E11284"/>
    <w:rsid w:val="00E117A7"/>
    <w:rsid w:val="00E246CD"/>
    <w:rsid w:val="00E31534"/>
    <w:rsid w:val="00E32C5C"/>
    <w:rsid w:val="00E3431E"/>
    <w:rsid w:val="00E517D9"/>
    <w:rsid w:val="00E70108"/>
    <w:rsid w:val="00E71B98"/>
    <w:rsid w:val="00E7267B"/>
    <w:rsid w:val="00E73085"/>
    <w:rsid w:val="00E816CC"/>
    <w:rsid w:val="00E81A52"/>
    <w:rsid w:val="00E867B7"/>
    <w:rsid w:val="00E9188E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F3645"/>
    <w:rsid w:val="00F001E3"/>
    <w:rsid w:val="00F060CD"/>
    <w:rsid w:val="00F120C7"/>
    <w:rsid w:val="00F1532D"/>
    <w:rsid w:val="00F267F7"/>
    <w:rsid w:val="00F27C16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1">
    <w:name w:val="Umbrire de culoare deschisă - Accentuare 31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1">
    <w:name w:val="Umbrire de culoare deschisă1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CommentTextChar">
    <w:name w:val="Comment Text Char"/>
    <w:link w:val="CommentText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FootnoteText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04407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11E-6171-428A-B5BE-3EF16C77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Consiliul Superior al Magistraturii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Calina, GHITULESCU</cp:lastModifiedBy>
  <cp:revision>2</cp:revision>
  <cp:lastPrinted>2016-10-07T09:55:00Z</cp:lastPrinted>
  <dcterms:created xsi:type="dcterms:W3CDTF">2016-10-07T10:58:00Z</dcterms:created>
  <dcterms:modified xsi:type="dcterms:W3CDTF">2016-10-07T10:58:00Z</dcterms:modified>
</cp:coreProperties>
</file>