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87A4" w14:textId="77777777" w:rsidR="003C47DB" w:rsidRDefault="003C47DB" w:rsidP="003C47DB">
      <w:pPr>
        <w:widowControl w:val="0"/>
        <w:autoSpaceDE w:val="0"/>
        <w:autoSpaceDN w:val="0"/>
        <w:adjustRightInd w:val="0"/>
        <w:jc w:val="center"/>
        <w:rPr>
          <w:rFonts w:cs="Arial"/>
          <w:b/>
          <w:bCs/>
          <w:sz w:val="28"/>
          <w:szCs w:val="28"/>
          <w:lang w:val="en-US"/>
        </w:rPr>
      </w:pPr>
      <w:r w:rsidRPr="008A2373">
        <w:rPr>
          <w:rFonts w:cs="Arial"/>
          <w:b/>
          <w:bCs/>
          <w:sz w:val="32"/>
          <w:szCs w:val="32"/>
          <w:lang w:val="en-US"/>
        </w:rPr>
        <w:t>INSOL EUROPE</w:t>
      </w:r>
    </w:p>
    <w:p w14:paraId="2F479198" w14:textId="77777777" w:rsidR="003C47DB" w:rsidRDefault="003C47DB" w:rsidP="003C47DB">
      <w:pPr>
        <w:widowControl w:val="0"/>
        <w:autoSpaceDE w:val="0"/>
        <w:autoSpaceDN w:val="0"/>
        <w:adjustRightInd w:val="0"/>
        <w:jc w:val="center"/>
        <w:rPr>
          <w:rFonts w:cs="Arial"/>
          <w:b/>
          <w:bCs/>
          <w:sz w:val="28"/>
          <w:szCs w:val="28"/>
          <w:lang w:val="en-US"/>
        </w:rPr>
      </w:pPr>
    </w:p>
    <w:p w14:paraId="67A94716" w14:textId="77777777" w:rsidR="003C47DB" w:rsidRPr="00F517A2" w:rsidRDefault="003C47DB" w:rsidP="003C47DB">
      <w:pPr>
        <w:widowControl w:val="0"/>
        <w:autoSpaceDE w:val="0"/>
        <w:autoSpaceDN w:val="0"/>
        <w:adjustRightInd w:val="0"/>
        <w:jc w:val="center"/>
        <w:rPr>
          <w:rFonts w:cs="Arial"/>
          <w:b/>
          <w:bCs/>
          <w:sz w:val="28"/>
          <w:szCs w:val="28"/>
          <w:lang w:val="en-US"/>
        </w:rPr>
      </w:pPr>
      <w:r>
        <w:rPr>
          <w:rFonts w:cs="Arial"/>
          <w:b/>
          <w:bCs/>
          <w:sz w:val="28"/>
          <w:szCs w:val="28"/>
          <w:lang w:val="en-US"/>
        </w:rPr>
        <w:t>HIGH LEVEL COURSE ON INSO</w:t>
      </w:r>
      <w:r w:rsidRPr="00F517A2">
        <w:rPr>
          <w:rFonts w:cs="Arial"/>
          <w:b/>
          <w:bCs/>
          <w:sz w:val="28"/>
          <w:szCs w:val="28"/>
          <w:lang w:val="en-US"/>
        </w:rPr>
        <w:t>L</w:t>
      </w:r>
      <w:r>
        <w:rPr>
          <w:rFonts w:cs="Arial"/>
          <w:b/>
          <w:bCs/>
          <w:sz w:val="28"/>
          <w:szCs w:val="28"/>
          <w:lang w:val="en-US"/>
        </w:rPr>
        <w:t>V</w:t>
      </w:r>
      <w:r w:rsidRPr="00F517A2">
        <w:rPr>
          <w:rFonts w:cs="Arial"/>
          <w:b/>
          <w:bCs/>
          <w:sz w:val="28"/>
          <w:szCs w:val="28"/>
          <w:lang w:val="en-US"/>
        </w:rPr>
        <w:t>ENCY LAW IN EASTERN EUROPEAN JURISDICTIONS</w:t>
      </w:r>
    </w:p>
    <w:p w14:paraId="64191326" w14:textId="77777777" w:rsidR="003C47DB" w:rsidRPr="008A2373" w:rsidRDefault="003C47DB" w:rsidP="003C47DB">
      <w:pPr>
        <w:widowControl w:val="0"/>
        <w:autoSpaceDE w:val="0"/>
        <w:autoSpaceDN w:val="0"/>
        <w:adjustRightInd w:val="0"/>
        <w:jc w:val="center"/>
        <w:rPr>
          <w:rFonts w:cs="Arial"/>
          <w:b/>
          <w:bCs/>
          <w:sz w:val="28"/>
          <w:szCs w:val="28"/>
          <w:lang w:val="en-US"/>
        </w:rPr>
      </w:pPr>
      <w:r w:rsidRPr="00F517A2">
        <w:rPr>
          <w:rFonts w:cs="Arial"/>
          <w:b/>
          <w:bCs/>
          <w:sz w:val="28"/>
          <w:szCs w:val="28"/>
          <w:lang w:val="en-US"/>
        </w:rPr>
        <w:t>ROMANIA, 2016/2017</w:t>
      </w:r>
      <w:r w:rsidRPr="008A2373">
        <w:rPr>
          <w:rStyle w:val="Referinnotdesubsol"/>
          <w:rFonts w:cs="Arial"/>
          <w:b/>
          <w:bCs/>
          <w:sz w:val="32"/>
          <w:szCs w:val="32"/>
          <w:lang w:val="en-US"/>
        </w:rPr>
        <w:footnoteReference w:customMarkFollows="1" w:id="1"/>
        <w:sym w:font="Symbol" w:char="F02A"/>
      </w:r>
    </w:p>
    <w:p w14:paraId="310071D2" w14:textId="77777777" w:rsidR="003C47DB" w:rsidRDefault="003C47DB" w:rsidP="003C47DB">
      <w:pPr>
        <w:widowControl w:val="0"/>
        <w:autoSpaceDE w:val="0"/>
        <w:autoSpaceDN w:val="0"/>
        <w:adjustRightInd w:val="0"/>
        <w:jc w:val="both"/>
        <w:rPr>
          <w:rFonts w:cs="Arial"/>
          <w:b/>
          <w:bCs/>
          <w:lang w:val="en-US"/>
        </w:rPr>
      </w:pPr>
    </w:p>
    <w:p w14:paraId="43B88521" w14:textId="77777777" w:rsidR="00B00CE3" w:rsidRDefault="00B00CE3" w:rsidP="003C47DB">
      <w:pPr>
        <w:widowControl w:val="0"/>
        <w:autoSpaceDE w:val="0"/>
        <w:autoSpaceDN w:val="0"/>
        <w:adjustRightInd w:val="0"/>
        <w:jc w:val="both"/>
        <w:rPr>
          <w:rFonts w:cs="Arial"/>
          <w:b/>
          <w:bCs/>
          <w:lang w:val="en-US"/>
        </w:rPr>
      </w:pPr>
    </w:p>
    <w:p w14:paraId="791B5708" w14:textId="77777777" w:rsidR="003C47DB" w:rsidRDefault="003C47DB" w:rsidP="003C47DB">
      <w:pPr>
        <w:widowControl w:val="0"/>
        <w:autoSpaceDE w:val="0"/>
        <w:autoSpaceDN w:val="0"/>
        <w:adjustRightInd w:val="0"/>
        <w:jc w:val="both"/>
        <w:rPr>
          <w:rFonts w:cs="Arial"/>
          <w:b/>
          <w:bCs/>
          <w:lang w:val="en-US"/>
        </w:rPr>
      </w:pPr>
    </w:p>
    <w:p w14:paraId="28E6D4A1" w14:textId="77777777" w:rsidR="003C47DB" w:rsidRPr="00862994" w:rsidRDefault="003C47DB" w:rsidP="003C47DB">
      <w:pPr>
        <w:widowControl w:val="0"/>
        <w:autoSpaceDE w:val="0"/>
        <w:autoSpaceDN w:val="0"/>
        <w:adjustRightInd w:val="0"/>
        <w:jc w:val="both"/>
        <w:rPr>
          <w:rFonts w:cs="Arial"/>
          <w:lang w:val="en-US"/>
        </w:rPr>
      </w:pPr>
      <w:r>
        <w:rPr>
          <w:rFonts w:cs="Arial"/>
          <w:b/>
          <w:bCs/>
          <w:lang w:val="en-US"/>
        </w:rPr>
        <w:t xml:space="preserve">I. </w:t>
      </w:r>
      <w:r w:rsidRPr="00862994">
        <w:rPr>
          <w:rFonts w:cs="Arial"/>
          <w:b/>
          <w:bCs/>
          <w:lang w:val="en-US"/>
        </w:rPr>
        <w:t>GENERAL DESCRIPTION</w:t>
      </w:r>
    </w:p>
    <w:p w14:paraId="3A77EEBE"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 </w:t>
      </w:r>
    </w:p>
    <w:p w14:paraId="260EC917" w14:textId="77777777" w:rsidR="003C47DB" w:rsidRPr="00862994" w:rsidRDefault="003C47DB" w:rsidP="003C47DB">
      <w:pPr>
        <w:widowControl w:val="0"/>
        <w:autoSpaceDE w:val="0"/>
        <w:autoSpaceDN w:val="0"/>
        <w:adjustRightInd w:val="0"/>
        <w:jc w:val="both"/>
        <w:rPr>
          <w:rFonts w:cs="Arial"/>
          <w:lang w:val="en-US"/>
        </w:rPr>
      </w:pPr>
    </w:p>
    <w:p w14:paraId="20453792"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The course will be separated into 3 different modules, each with a different -but complementary- component. The objective is</w:t>
      </w:r>
      <w:r>
        <w:rPr>
          <w:rFonts w:cs="Arial"/>
          <w:lang w:val="en-US"/>
        </w:rPr>
        <w:t>:</w:t>
      </w:r>
      <w:r w:rsidRPr="00862994">
        <w:rPr>
          <w:rFonts w:cs="Arial"/>
          <w:lang w:val="en-US"/>
        </w:rPr>
        <w:t xml:space="preserve"> 1) to convey the main elements</w:t>
      </w:r>
      <w:r>
        <w:rPr>
          <w:rFonts w:cs="Arial"/>
          <w:lang w:val="en-US"/>
        </w:rPr>
        <w:t xml:space="preserve"> of international best practice;</w:t>
      </w:r>
      <w:r w:rsidRPr="00862994">
        <w:rPr>
          <w:rFonts w:cs="Arial"/>
          <w:lang w:val="en-US"/>
        </w:rPr>
        <w:t xml:space="preserve"> 2) to deepen into the knowledge and interpretation of the local system of a given country. </w:t>
      </w:r>
    </w:p>
    <w:p w14:paraId="1A71A911" w14:textId="77777777" w:rsidR="003C47DB" w:rsidRPr="00862994" w:rsidRDefault="003C47DB" w:rsidP="003C47DB">
      <w:pPr>
        <w:widowControl w:val="0"/>
        <w:autoSpaceDE w:val="0"/>
        <w:autoSpaceDN w:val="0"/>
        <w:adjustRightInd w:val="0"/>
        <w:jc w:val="both"/>
        <w:rPr>
          <w:rFonts w:cs="Arial"/>
          <w:lang w:val="en-US"/>
        </w:rPr>
      </w:pPr>
    </w:p>
    <w:p w14:paraId="156FC087"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All the training will have a theoretical base but fundamentally a practical approach. The idea is to use a case-study methodology for each module. The classes must be seminar-based and fully interactive. The course woul</w:t>
      </w:r>
      <w:r>
        <w:rPr>
          <w:rFonts w:cs="Arial"/>
          <w:lang w:val="en-US"/>
        </w:rPr>
        <w:t>d be designed for a maximum of 70/80 attendants</w:t>
      </w:r>
      <w:r w:rsidRPr="00862994">
        <w:rPr>
          <w:rFonts w:cs="Arial"/>
          <w:lang w:val="en-US"/>
        </w:rPr>
        <w:t>. Target participants would be all professionals involved in the insolvenc</w:t>
      </w:r>
      <w:r>
        <w:rPr>
          <w:rFonts w:cs="Arial"/>
          <w:lang w:val="en-US"/>
        </w:rPr>
        <w:t>y practice of the jurisdiction, with special focus on high level lawyers and</w:t>
      </w:r>
      <w:r w:rsidRPr="00862994">
        <w:rPr>
          <w:rFonts w:cs="Arial"/>
          <w:lang w:val="en-US"/>
        </w:rPr>
        <w:t xml:space="preserve"> IPs</w:t>
      </w:r>
      <w:r>
        <w:rPr>
          <w:rFonts w:cs="Arial"/>
          <w:lang w:val="en-US"/>
        </w:rPr>
        <w:t>. J</w:t>
      </w:r>
      <w:r w:rsidRPr="00862994">
        <w:rPr>
          <w:rFonts w:cs="Arial"/>
          <w:lang w:val="en-US"/>
        </w:rPr>
        <w:t xml:space="preserve">udges </w:t>
      </w:r>
      <w:r>
        <w:rPr>
          <w:rFonts w:cs="Arial"/>
          <w:lang w:val="en-US"/>
        </w:rPr>
        <w:t>and</w:t>
      </w:r>
      <w:r w:rsidRPr="00862994">
        <w:rPr>
          <w:rFonts w:cs="Arial"/>
          <w:lang w:val="en-US"/>
        </w:rPr>
        <w:t xml:space="preserve"> state officials (of the relevant insolvency agency)</w:t>
      </w:r>
      <w:r>
        <w:rPr>
          <w:rFonts w:cs="Arial"/>
          <w:lang w:val="en-US"/>
        </w:rPr>
        <w:t xml:space="preserve"> would also be welcome</w:t>
      </w:r>
      <w:r w:rsidRPr="00862994">
        <w:rPr>
          <w:rFonts w:cs="Arial"/>
          <w:lang w:val="en-US"/>
        </w:rPr>
        <w:t>.</w:t>
      </w:r>
      <w:r>
        <w:rPr>
          <w:rFonts w:cs="Arial"/>
          <w:lang w:val="en-US"/>
        </w:rPr>
        <w:t xml:space="preserve"> </w:t>
      </w:r>
      <w:proofErr w:type="spellStart"/>
      <w:r>
        <w:rPr>
          <w:rFonts w:cs="Arial"/>
          <w:lang w:val="en-US"/>
        </w:rPr>
        <w:t>Insol</w:t>
      </w:r>
      <w:proofErr w:type="spellEnd"/>
      <w:r>
        <w:rPr>
          <w:rFonts w:cs="Arial"/>
          <w:lang w:val="en-US"/>
        </w:rPr>
        <w:t xml:space="preserve"> Europe could consider waiving the fees for Judges attending the course. Their participation would be an additional incentive for top level private sector professionals to sign up for the course. </w:t>
      </w:r>
    </w:p>
    <w:p w14:paraId="7B39BC3A"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 </w:t>
      </w:r>
    </w:p>
    <w:p w14:paraId="70F6FE52" w14:textId="77777777" w:rsidR="003C47DB" w:rsidRPr="00862994" w:rsidRDefault="003C47DB" w:rsidP="003C47DB">
      <w:pPr>
        <w:widowControl w:val="0"/>
        <w:autoSpaceDE w:val="0"/>
        <w:autoSpaceDN w:val="0"/>
        <w:adjustRightInd w:val="0"/>
        <w:jc w:val="both"/>
        <w:rPr>
          <w:rFonts w:cs="Arial"/>
          <w:b/>
          <w:bCs/>
          <w:lang w:val="en-US"/>
        </w:rPr>
      </w:pPr>
    </w:p>
    <w:p w14:paraId="4E87765E" w14:textId="77777777" w:rsidR="003C47DB" w:rsidRPr="00862994" w:rsidRDefault="003C47DB" w:rsidP="003C47DB">
      <w:pPr>
        <w:widowControl w:val="0"/>
        <w:autoSpaceDE w:val="0"/>
        <w:autoSpaceDN w:val="0"/>
        <w:adjustRightInd w:val="0"/>
        <w:jc w:val="both"/>
        <w:rPr>
          <w:rFonts w:cs="Arial"/>
          <w:lang w:val="en-US"/>
        </w:rPr>
      </w:pPr>
      <w:r>
        <w:rPr>
          <w:rFonts w:cs="Arial"/>
          <w:b/>
          <w:bCs/>
          <w:lang w:val="en-US"/>
        </w:rPr>
        <w:t xml:space="preserve">II. </w:t>
      </w:r>
      <w:r w:rsidRPr="00862994">
        <w:rPr>
          <w:rFonts w:cs="Arial"/>
          <w:b/>
          <w:bCs/>
          <w:lang w:val="en-US"/>
        </w:rPr>
        <w:t>CONTENT OF THE COURSE</w:t>
      </w:r>
    </w:p>
    <w:p w14:paraId="3DD4C140"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 </w:t>
      </w:r>
    </w:p>
    <w:p w14:paraId="26068A92" w14:textId="77777777" w:rsidR="003C47DB" w:rsidRPr="00862994" w:rsidRDefault="003C47DB" w:rsidP="003C47DB">
      <w:pPr>
        <w:widowControl w:val="0"/>
        <w:autoSpaceDE w:val="0"/>
        <w:autoSpaceDN w:val="0"/>
        <w:adjustRightInd w:val="0"/>
        <w:jc w:val="both"/>
        <w:rPr>
          <w:rFonts w:cs="Arial"/>
          <w:lang w:val="en-US"/>
        </w:rPr>
      </w:pPr>
    </w:p>
    <w:p w14:paraId="63FEC01B" w14:textId="77777777" w:rsidR="003C47DB" w:rsidRPr="00862994" w:rsidRDefault="003C47DB" w:rsidP="003C47DB">
      <w:pPr>
        <w:widowControl w:val="0"/>
        <w:autoSpaceDE w:val="0"/>
        <w:autoSpaceDN w:val="0"/>
        <w:adjustRightInd w:val="0"/>
        <w:jc w:val="both"/>
        <w:rPr>
          <w:rFonts w:cs="Arial"/>
          <w:lang w:val="en-US"/>
        </w:rPr>
      </w:pPr>
      <w:r w:rsidRPr="00862994">
        <w:rPr>
          <w:rFonts w:cs="Arial"/>
          <w:lang w:val="en-US"/>
        </w:rPr>
        <w:t xml:space="preserve">The course would be divided into 3 modules, 2 consisting of 3 half days each (Thursday/Friday second half of the day, Sat morning), and one on-line with an additional one-day workshop. The modules would take place within one calendar year, with a separation of </w:t>
      </w:r>
      <w:r>
        <w:rPr>
          <w:rFonts w:cs="Arial"/>
          <w:lang w:val="en-US"/>
        </w:rPr>
        <w:t>approx. 5</w:t>
      </w:r>
      <w:r w:rsidRPr="00862994">
        <w:rPr>
          <w:rFonts w:cs="Arial"/>
          <w:lang w:val="en-US"/>
        </w:rPr>
        <w:t xml:space="preserve"> months</w:t>
      </w:r>
      <w:r>
        <w:rPr>
          <w:rFonts w:cs="Arial"/>
          <w:lang w:val="en-US"/>
        </w:rPr>
        <w:t>. Based on consultations with local experts, the suggested</w:t>
      </w:r>
      <w:r w:rsidR="00DC4BF7">
        <w:rPr>
          <w:rFonts w:cs="Arial"/>
          <w:lang w:val="en-US"/>
        </w:rPr>
        <w:t xml:space="preserve"> dates would be: Module I, 2-4</w:t>
      </w:r>
      <w:r>
        <w:rPr>
          <w:rFonts w:cs="Arial"/>
          <w:lang w:val="en-US"/>
        </w:rPr>
        <w:t xml:space="preserve"> February 2017; Module II, 29</w:t>
      </w:r>
      <w:r w:rsidRPr="00862994">
        <w:rPr>
          <w:rFonts w:cs="Arial"/>
          <w:lang w:val="en-US"/>
        </w:rPr>
        <w:t xml:space="preserve"> June</w:t>
      </w:r>
      <w:r>
        <w:rPr>
          <w:rFonts w:cs="Arial"/>
          <w:lang w:val="en-US"/>
        </w:rPr>
        <w:t>-1 July 2017</w:t>
      </w:r>
      <w:r w:rsidRPr="00862994">
        <w:rPr>
          <w:rFonts w:cs="Arial"/>
          <w:lang w:val="en-US"/>
        </w:rPr>
        <w:t xml:space="preserve">; Workshop for Module </w:t>
      </w:r>
      <w:r>
        <w:rPr>
          <w:rFonts w:cs="Arial"/>
          <w:lang w:val="en-US"/>
        </w:rPr>
        <w:t>24-2</w:t>
      </w:r>
      <w:r w:rsidRPr="00862994">
        <w:rPr>
          <w:rFonts w:cs="Arial"/>
          <w:lang w:val="en-US"/>
        </w:rPr>
        <w:t xml:space="preserve">5 </w:t>
      </w:r>
      <w:r>
        <w:rPr>
          <w:rFonts w:cs="Arial"/>
          <w:lang w:val="en-US"/>
        </w:rPr>
        <w:t>November</w:t>
      </w:r>
      <w:r w:rsidRPr="00862994">
        <w:rPr>
          <w:rFonts w:cs="Arial"/>
          <w:lang w:val="en-US"/>
        </w:rPr>
        <w:t>). The general content of each module would be as follows:</w:t>
      </w:r>
    </w:p>
    <w:p w14:paraId="3F1CA712" w14:textId="77777777" w:rsidR="003C47DB" w:rsidRPr="001F67A4" w:rsidRDefault="003C47DB" w:rsidP="003C47DB">
      <w:pPr>
        <w:widowControl w:val="0"/>
        <w:autoSpaceDE w:val="0"/>
        <w:autoSpaceDN w:val="0"/>
        <w:adjustRightInd w:val="0"/>
        <w:jc w:val="both"/>
        <w:rPr>
          <w:rFonts w:cs="Arial"/>
          <w:lang w:val="en-US"/>
        </w:rPr>
      </w:pPr>
      <w:r w:rsidRPr="00862994">
        <w:rPr>
          <w:rFonts w:cs="Arial"/>
          <w:lang w:val="en-US"/>
        </w:rPr>
        <w:t> </w:t>
      </w:r>
    </w:p>
    <w:p w14:paraId="49424085"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i/>
          <w:iCs/>
          <w:u w:val="single" w:color="453CCC"/>
          <w:lang w:val="en-US"/>
        </w:rPr>
        <w:t>Module I. International best practice and comparative examples</w:t>
      </w:r>
    </w:p>
    <w:p w14:paraId="0DB20623"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w:t>
      </w:r>
    </w:p>
    <w:p w14:paraId="01A21BB3" w14:textId="77777777" w:rsidR="003C47DB"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xml:space="preserve">This module would seek to provide attendants with a general overview of international standards and best comparative examples concerning the main elements of business restructuring and insolvency. The first 2 days would cover the analysis from a theoretical perspective, although always including the provision of comparative examples of the systems existing in different </w:t>
      </w:r>
      <w:r w:rsidRPr="00862994">
        <w:rPr>
          <w:rFonts w:cs="Arial"/>
          <w:u w:color="453CCC"/>
          <w:lang w:val="en-US"/>
        </w:rPr>
        <w:lastRenderedPageBreak/>
        <w:t xml:space="preserve">jurisdictions as well as practical examples of cases and judicial decisions. The final day of this module would consist of a case study. </w:t>
      </w:r>
    </w:p>
    <w:p w14:paraId="430D513B" w14:textId="77777777" w:rsidR="003C47DB" w:rsidRPr="00862994" w:rsidRDefault="003C47DB" w:rsidP="003C47DB">
      <w:pPr>
        <w:widowControl w:val="0"/>
        <w:autoSpaceDE w:val="0"/>
        <w:autoSpaceDN w:val="0"/>
        <w:adjustRightInd w:val="0"/>
        <w:jc w:val="both"/>
        <w:rPr>
          <w:rFonts w:cs="Arial"/>
          <w:u w:color="453CCC"/>
          <w:lang w:val="en-US"/>
        </w:rPr>
      </w:pPr>
    </w:p>
    <w:p w14:paraId="70F22EE8"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xml:space="preserve">Participants would be clustered in small groups to work through a hypothetical designed to test most of the aspects of insolvency law discussion over the first two days of the </w:t>
      </w:r>
      <w:proofErr w:type="spellStart"/>
      <w:r w:rsidRPr="00862994">
        <w:rPr>
          <w:rFonts w:cs="Arial"/>
          <w:u w:color="453CCC"/>
          <w:lang w:val="en-US"/>
        </w:rPr>
        <w:t>programme</w:t>
      </w:r>
      <w:proofErr w:type="spellEnd"/>
      <w:r w:rsidRPr="00862994">
        <w:rPr>
          <w:rFonts w:cs="Arial"/>
          <w:u w:color="453CCC"/>
          <w:lang w:val="en-US"/>
        </w:rPr>
        <w:t>. In the discussion of the case, at least one local judge will be involved. </w:t>
      </w:r>
      <w:r w:rsidRPr="00862994">
        <w:rPr>
          <w:rFonts w:cs="Arial"/>
          <w:u w:color="453CCC"/>
          <w:lang w:val="en-US"/>
        </w:rPr>
        <w:br w:type="page"/>
      </w:r>
    </w:p>
    <w:tbl>
      <w:tblPr>
        <w:tblStyle w:val="Grilmedie3-Accentuare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3C47DB" w:rsidRPr="00862994" w14:paraId="576C70B2" w14:textId="77777777" w:rsidTr="00E42D4D">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15FE63DC" w14:textId="77777777" w:rsidR="003C47DB" w:rsidRPr="00862994" w:rsidRDefault="003C47DB" w:rsidP="00E42D4D">
            <w:pPr>
              <w:rPr>
                <w:sz w:val="18"/>
                <w:szCs w:val="18"/>
                <w:lang w:val="en-GB"/>
              </w:rPr>
            </w:pPr>
          </w:p>
        </w:tc>
        <w:tc>
          <w:tcPr>
            <w:tcW w:w="2703" w:type="dxa"/>
            <w:vAlign w:val="center"/>
          </w:tcPr>
          <w:p w14:paraId="5B499FD9" w14:textId="77777777" w:rsidR="003C47DB" w:rsidRPr="00862994"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Thursday</w:t>
            </w:r>
          </w:p>
        </w:tc>
        <w:tc>
          <w:tcPr>
            <w:tcW w:w="2586" w:type="dxa"/>
            <w:vAlign w:val="center"/>
          </w:tcPr>
          <w:p w14:paraId="32863920" w14:textId="77777777" w:rsidR="003C47DB" w:rsidRPr="00862994"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Friday</w:t>
            </w:r>
          </w:p>
        </w:tc>
        <w:tc>
          <w:tcPr>
            <w:tcW w:w="3104" w:type="dxa"/>
            <w:vAlign w:val="center"/>
          </w:tcPr>
          <w:p w14:paraId="624A4CAD" w14:textId="77777777" w:rsidR="003C47DB" w:rsidRPr="00862994"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Saturday</w:t>
            </w:r>
          </w:p>
        </w:tc>
      </w:tr>
      <w:tr w:rsidR="003C47DB" w:rsidRPr="00862994" w14:paraId="0B7F7173" w14:textId="77777777" w:rsidTr="00E42D4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62C536C" w14:textId="77777777" w:rsidR="003C47DB" w:rsidRPr="00862994" w:rsidRDefault="003C47DB" w:rsidP="00E42D4D">
            <w:pPr>
              <w:jc w:val="center"/>
              <w:rPr>
                <w:sz w:val="18"/>
                <w:szCs w:val="18"/>
                <w:lang w:val="en-GB"/>
              </w:rPr>
            </w:pPr>
            <w:r w:rsidRPr="00862994">
              <w:rPr>
                <w:sz w:val="18"/>
                <w:szCs w:val="18"/>
                <w:lang w:val="en-GB"/>
              </w:rPr>
              <w:t>8.30-9.00</w:t>
            </w:r>
          </w:p>
        </w:tc>
        <w:tc>
          <w:tcPr>
            <w:tcW w:w="2703" w:type="dxa"/>
            <w:vAlign w:val="center"/>
          </w:tcPr>
          <w:p w14:paraId="1D89529E" w14:textId="77777777" w:rsidR="003C47DB" w:rsidRPr="00862994"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38333EF5" w14:textId="77777777" w:rsidR="003C47DB" w:rsidRPr="00862994"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21030264" w14:textId="77777777" w:rsidR="003C47DB" w:rsidRPr="00862994"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Coffee</w:t>
            </w:r>
          </w:p>
        </w:tc>
      </w:tr>
      <w:tr w:rsidR="003C47DB" w:rsidRPr="00862994" w14:paraId="352B2CEF" w14:textId="77777777" w:rsidTr="00E42D4D">
        <w:trPr>
          <w:trHeight w:val="135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3300851" w14:textId="77777777" w:rsidR="003C47DB" w:rsidRPr="00862994" w:rsidRDefault="003C47DB" w:rsidP="00E42D4D">
            <w:pPr>
              <w:jc w:val="center"/>
              <w:rPr>
                <w:sz w:val="18"/>
                <w:szCs w:val="18"/>
                <w:lang w:val="en-GB"/>
              </w:rPr>
            </w:pPr>
            <w:r w:rsidRPr="00862994">
              <w:rPr>
                <w:sz w:val="18"/>
                <w:szCs w:val="18"/>
                <w:lang w:val="en-GB"/>
              </w:rPr>
              <w:t>9.00-10.30</w:t>
            </w:r>
          </w:p>
        </w:tc>
        <w:tc>
          <w:tcPr>
            <w:tcW w:w="2703" w:type="dxa"/>
          </w:tcPr>
          <w:p w14:paraId="54BBE676"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4785314E"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BC16184"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24C6D92D"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7B864D1D"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A495375"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1A13AE83"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Business rescue inside formal proceedings</w:t>
            </w:r>
          </w:p>
          <w:p w14:paraId="001A8680"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14A684BD"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Rescue through a reorganization plan. Enabling legal framework. Rescue through liquidation: the going concern sale of the business. Main regulatory elements</w:t>
            </w:r>
          </w:p>
          <w:p w14:paraId="533F0EE4"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3C47DB" w:rsidRPr="00862994" w14:paraId="237DC6F4"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18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4678C4A" w14:textId="77777777" w:rsidR="003C47DB" w:rsidRPr="00862994" w:rsidRDefault="003C47DB" w:rsidP="00E42D4D">
            <w:pPr>
              <w:jc w:val="center"/>
              <w:rPr>
                <w:sz w:val="18"/>
                <w:szCs w:val="18"/>
                <w:lang w:val="en-GB"/>
              </w:rPr>
            </w:pPr>
          </w:p>
        </w:tc>
      </w:tr>
      <w:tr w:rsidR="003C47DB" w:rsidRPr="00862994" w14:paraId="24447E57" w14:textId="77777777" w:rsidTr="00E42D4D">
        <w:trPr>
          <w:trHeight w:val="11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B4650D7" w14:textId="77777777" w:rsidR="003C47DB" w:rsidRPr="00862994" w:rsidRDefault="003C47DB" w:rsidP="00E42D4D">
            <w:pPr>
              <w:jc w:val="center"/>
              <w:rPr>
                <w:sz w:val="18"/>
                <w:szCs w:val="18"/>
                <w:lang w:val="en-GB"/>
              </w:rPr>
            </w:pPr>
            <w:r w:rsidRPr="00862994">
              <w:rPr>
                <w:sz w:val="18"/>
                <w:szCs w:val="18"/>
                <w:lang w:val="en-GB"/>
              </w:rPr>
              <w:t>10.45-12.00</w:t>
            </w:r>
          </w:p>
        </w:tc>
        <w:tc>
          <w:tcPr>
            <w:tcW w:w="2703" w:type="dxa"/>
          </w:tcPr>
          <w:p w14:paraId="4398058C"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3A19A39A"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04A61953"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326387A"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C518A6C"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CASE STUDY I</w:t>
            </w:r>
          </w:p>
          <w:p w14:paraId="7F380C80"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Designing Steering Committees. Drafting Standstill agreements</w:t>
            </w:r>
          </w:p>
        </w:tc>
      </w:tr>
      <w:tr w:rsidR="003C47DB" w:rsidRPr="00862994" w14:paraId="4AADD4E8" w14:textId="77777777" w:rsidTr="00E42D4D">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2AFA28C" w14:textId="77777777" w:rsidR="003C47DB" w:rsidRPr="00862994" w:rsidRDefault="003C47DB" w:rsidP="00E42D4D">
            <w:pPr>
              <w:jc w:val="center"/>
              <w:rPr>
                <w:sz w:val="18"/>
                <w:szCs w:val="18"/>
                <w:lang w:val="en-GB"/>
              </w:rPr>
            </w:pPr>
            <w:r w:rsidRPr="00862994">
              <w:rPr>
                <w:sz w:val="18"/>
                <w:szCs w:val="18"/>
                <w:lang w:val="en-GB"/>
              </w:rPr>
              <w:t>12.15-2.00</w:t>
            </w:r>
          </w:p>
        </w:tc>
        <w:tc>
          <w:tcPr>
            <w:tcW w:w="2703" w:type="dxa"/>
          </w:tcPr>
          <w:p w14:paraId="56FBD7FC"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1699B398"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218B87EA"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00E9F09B"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29C0208F" w14:textId="77777777" w:rsidR="003C47DB" w:rsidRPr="00862994"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CASE STUDY II</w:t>
            </w:r>
          </w:p>
        </w:tc>
      </w:tr>
      <w:tr w:rsidR="003C47DB" w:rsidRPr="00862994" w14:paraId="290B649D" w14:textId="77777777" w:rsidTr="00E42D4D">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9CDAE26" w14:textId="77777777" w:rsidR="003C47DB" w:rsidRPr="00862994" w:rsidRDefault="003C47DB" w:rsidP="00E42D4D">
            <w:pPr>
              <w:jc w:val="center"/>
              <w:rPr>
                <w:sz w:val="18"/>
                <w:szCs w:val="18"/>
                <w:lang w:val="en-GB"/>
              </w:rPr>
            </w:pPr>
            <w:r w:rsidRPr="00862994">
              <w:rPr>
                <w:sz w:val="18"/>
                <w:szCs w:val="18"/>
                <w:lang w:val="en-GB"/>
              </w:rPr>
              <w:t>2-2.30</w:t>
            </w:r>
          </w:p>
        </w:tc>
        <w:tc>
          <w:tcPr>
            <w:tcW w:w="2703" w:type="dxa"/>
          </w:tcPr>
          <w:p w14:paraId="329EAC24"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Coffee, Welcome and Introduction</w:t>
            </w:r>
          </w:p>
        </w:tc>
        <w:tc>
          <w:tcPr>
            <w:tcW w:w="2586" w:type="dxa"/>
          </w:tcPr>
          <w:p w14:paraId="0C3EADBC"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B9BB1CE"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Coffee</w:t>
            </w:r>
          </w:p>
        </w:tc>
        <w:tc>
          <w:tcPr>
            <w:tcW w:w="3104" w:type="dxa"/>
          </w:tcPr>
          <w:p w14:paraId="7F0101A0"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64A85680" w14:textId="77777777" w:rsidR="003C47DB" w:rsidRPr="00862994"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Q&amp;A</w:t>
            </w:r>
          </w:p>
        </w:tc>
      </w:tr>
      <w:tr w:rsidR="003C47DB" w:rsidRPr="00862994" w14:paraId="17A51E03"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51F9508" w14:textId="77777777" w:rsidR="003C47DB" w:rsidRPr="00862994" w:rsidRDefault="003C47DB" w:rsidP="00E42D4D">
            <w:pPr>
              <w:jc w:val="center"/>
              <w:rPr>
                <w:sz w:val="18"/>
                <w:szCs w:val="18"/>
                <w:lang w:val="en-GB"/>
              </w:rPr>
            </w:pPr>
          </w:p>
        </w:tc>
      </w:tr>
      <w:tr w:rsidR="003C47DB" w:rsidRPr="00862994" w14:paraId="684518B0" w14:textId="77777777" w:rsidTr="00E42D4D">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47D2538" w14:textId="77777777" w:rsidR="003C47DB" w:rsidRPr="00862994" w:rsidRDefault="003C47DB" w:rsidP="00E42D4D">
            <w:pPr>
              <w:jc w:val="center"/>
              <w:rPr>
                <w:sz w:val="18"/>
                <w:szCs w:val="18"/>
                <w:lang w:val="en-GB"/>
              </w:rPr>
            </w:pPr>
            <w:r w:rsidRPr="00862994">
              <w:rPr>
                <w:sz w:val="18"/>
                <w:szCs w:val="18"/>
                <w:lang w:val="en-GB"/>
              </w:rPr>
              <w:t>2.30-3.45</w:t>
            </w:r>
          </w:p>
        </w:tc>
        <w:tc>
          <w:tcPr>
            <w:tcW w:w="2703" w:type="dxa"/>
          </w:tcPr>
          <w:p w14:paraId="40099DCD"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Why bankruptcy and who does what and why</w:t>
            </w:r>
          </w:p>
          <w:p w14:paraId="4BF78DC0"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305D524"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Justification, characteristics, objectives and goals of insolvency proceedings.  The roles in insolvency proceedings of courts, insolvency professionals, parties and advisors; rationale</w:t>
            </w:r>
          </w:p>
          <w:p w14:paraId="41CEB07A"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31550F77"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Effects on creditors.  Insolvency law treatment of contracts</w:t>
            </w:r>
          </w:p>
          <w:p w14:paraId="273F0539"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7B83001"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 xml:space="preserve">Treatment of claims and assets, particularly secured claims and encumbered assets. </w:t>
            </w:r>
            <w:r w:rsidRPr="00862994">
              <w:rPr>
                <w:i/>
                <w:sz w:val="18"/>
                <w:szCs w:val="18"/>
                <w:lang w:val="en-GB"/>
              </w:rPr>
              <w:t>Ipso facto</w:t>
            </w:r>
            <w:r w:rsidRPr="00862994">
              <w:rPr>
                <w:sz w:val="18"/>
                <w:szCs w:val="18"/>
                <w:lang w:val="en-GB"/>
              </w:rPr>
              <w:t>’ clauses; disclaimer; sett-off and netting; etc.</w:t>
            </w:r>
          </w:p>
          <w:p w14:paraId="3016571A"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41857E2"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14F07855"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3C47DB" w:rsidRPr="00862994" w14:paraId="160E777E"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DD1008A" w14:textId="77777777" w:rsidR="003C47DB" w:rsidRPr="00862994" w:rsidRDefault="003C47DB" w:rsidP="00E42D4D">
            <w:pPr>
              <w:jc w:val="center"/>
              <w:rPr>
                <w:sz w:val="18"/>
                <w:szCs w:val="18"/>
                <w:lang w:val="en-GB"/>
              </w:rPr>
            </w:pPr>
          </w:p>
        </w:tc>
      </w:tr>
      <w:tr w:rsidR="003C47DB" w:rsidRPr="00862994" w14:paraId="4F9EBFB0" w14:textId="77777777" w:rsidTr="00E42D4D">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40AC995" w14:textId="77777777" w:rsidR="003C47DB" w:rsidRPr="00862994" w:rsidRDefault="003C47DB" w:rsidP="00E42D4D">
            <w:pPr>
              <w:jc w:val="center"/>
              <w:rPr>
                <w:sz w:val="18"/>
                <w:szCs w:val="18"/>
                <w:lang w:val="en-GB"/>
              </w:rPr>
            </w:pPr>
            <w:r w:rsidRPr="00862994">
              <w:rPr>
                <w:sz w:val="18"/>
                <w:szCs w:val="18"/>
                <w:lang w:val="en-GB"/>
              </w:rPr>
              <w:t>4-5.15</w:t>
            </w:r>
          </w:p>
        </w:tc>
        <w:tc>
          <w:tcPr>
            <w:tcW w:w="2703" w:type="dxa"/>
          </w:tcPr>
          <w:p w14:paraId="6CE4246E"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Who may go bankrupt and how</w:t>
            </w:r>
          </w:p>
          <w:p w14:paraId="07567EDC"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C4D6ACE"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Types of debtor; entry gate to proceedings; early access to bankruptcy: duties and incentives. Duty to file vs wrongful trading</w:t>
            </w:r>
          </w:p>
        </w:tc>
        <w:tc>
          <w:tcPr>
            <w:tcW w:w="2586" w:type="dxa"/>
          </w:tcPr>
          <w:p w14:paraId="6107331B"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Informal workouts in the ‘shadow of the law’ I</w:t>
            </w:r>
          </w:p>
          <w:p w14:paraId="6C407D94"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011E90C1"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Theoretical framework of workouts and justification. Elements required. Stages: Pre-contractual; contract; implementation. Steering committees and standstill agreements</w:t>
            </w:r>
          </w:p>
          <w:p w14:paraId="0CA3E481"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w:t>
            </w:r>
          </w:p>
        </w:tc>
        <w:tc>
          <w:tcPr>
            <w:tcW w:w="3104" w:type="dxa"/>
          </w:tcPr>
          <w:p w14:paraId="0681D8AC"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E61F91E" w14:textId="77777777" w:rsidR="003C47DB" w:rsidRPr="00862994"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3C47DB" w:rsidRPr="00862994" w14:paraId="76B96427" w14:textId="77777777" w:rsidTr="00E42D4D">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82CA58C" w14:textId="77777777" w:rsidR="003C47DB" w:rsidRPr="00862994" w:rsidRDefault="003C47DB" w:rsidP="00E42D4D">
            <w:pPr>
              <w:jc w:val="center"/>
              <w:rPr>
                <w:sz w:val="18"/>
                <w:szCs w:val="18"/>
                <w:lang w:val="en-GB"/>
              </w:rPr>
            </w:pPr>
            <w:r w:rsidRPr="00862994">
              <w:rPr>
                <w:sz w:val="18"/>
                <w:szCs w:val="18"/>
                <w:lang w:val="en-GB"/>
              </w:rPr>
              <w:t>5.30-7</w:t>
            </w:r>
          </w:p>
        </w:tc>
        <w:tc>
          <w:tcPr>
            <w:tcW w:w="2703" w:type="dxa"/>
            <w:shd w:val="clear" w:color="auto" w:fill="EAF1DD" w:themeFill="accent3" w:themeFillTint="33"/>
          </w:tcPr>
          <w:p w14:paraId="03D7A0D6"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Effects on the debtor and the “build-up” of the estate</w:t>
            </w:r>
          </w:p>
          <w:p w14:paraId="0241F555"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376D6B36"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sz w:val="18"/>
                <w:szCs w:val="18"/>
                <w:lang w:val="en-GB"/>
              </w:rPr>
              <w:t>Systems of management and continuation of business. Effects on creditors.   General principles and avoidance actions</w:t>
            </w:r>
          </w:p>
        </w:tc>
        <w:tc>
          <w:tcPr>
            <w:tcW w:w="2586" w:type="dxa"/>
            <w:shd w:val="clear" w:color="auto" w:fill="EAF1DD" w:themeFill="accent3" w:themeFillTint="33"/>
          </w:tcPr>
          <w:p w14:paraId="7BB6CC56"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Workouts II. Hybrid instruments and pre-packaged solutions</w:t>
            </w:r>
          </w:p>
          <w:p w14:paraId="2EC9E84B"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12E15233"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r w:rsidRPr="00862994">
              <w:rPr>
                <w:sz w:val="18"/>
                <w:szCs w:val="18"/>
                <w:lang w:val="en-GB"/>
              </w:rPr>
              <w:t>Continued. Different types of hybrid instruments. Pre-packaged solutions and formal proceedings</w:t>
            </w:r>
          </w:p>
          <w:p w14:paraId="691B36E8"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54164DF4" w14:textId="77777777" w:rsidR="003C47DB" w:rsidRPr="00862994"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41441631" w14:textId="77777777" w:rsidR="003C47DB" w:rsidRPr="00862994" w:rsidRDefault="003C47DB" w:rsidP="003C47DB">
      <w:pPr>
        <w:widowControl w:val="0"/>
        <w:autoSpaceDE w:val="0"/>
        <w:autoSpaceDN w:val="0"/>
        <w:adjustRightInd w:val="0"/>
        <w:jc w:val="center"/>
        <w:rPr>
          <w:rFonts w:cs="Arial"/>
          <w:b/>
          <w:u w:color="453CCC"/>
          <w:lang w:val="en-US"/>
        </w:rPr>
      </w:pPr>
      <w:r w:rsidRPr="00862994">
        <w:rPr>
          <w:rFonts w:cs="Arial"/>
          <w:b/>
          <w:u w:color="453CCC"/>
          <w:lang w:val="en-US"/>
        </w:rPr>
        <w:t>Agenda for Module I</w:t>
      </w:r>
    </w:p>
    <w:p w14:paraId="6C143089" w14:textId="77777777" w:rsidR="003C47DB" w:rsidRPr="00862994" w:rsidRDefault="003C47DB" w:rsidP="003C47DB">
      <w:pPr>
        <w:widowControl w:val="0"/>
        <w:autoSpaceDE w:val="0"/>
        <w:autoSpaceDN w:val="0"/>
        <w:adjustRightInd w:val="0"/>
        <w:jc w:val="center"/>
        <w:rPr>
          <w:rFonts w:cs="Arial"/>
          <w:b/>
          <w:u w:color="453CCC"/>
          <w:lang w:val="en-US"/>
        </w:rPr>
      </w:pPr>
    </w:p>
    <w:p w14:paraId="5D96F6B2"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lastRenderedPageBreak/>
        <w:t> </w:t>
      </w:r>
    </w:p>
    <w:p w14:paraId="0382FF7B" w14:textId="77777777" w:rsidR="003C47DB" w:rsidRPr="00862994" w:rsidRDefault="003C47DB" w:rsidP="003C47DB">
      <w:pPr>
        <w:widowControl w:val="0"/>
        <w:autoSpaceDE w:val="0"/>
        <w:autoSpaceDN w:val="0"/>
        <w:adjustRightInd w:val="0"/>
        <w:jc w:val="both"/>
        <w:rPr>
          <w:rFonts w:cs="Arial"/>
          <w:i/>
          <w:iCs/>
          <w:u w:val="single" w:color="453CCC"/>
          <w:lang w:val="en-US"/>
        </w:rPr>
      </w:pPr>
    </w:p>
    <w:p w14:paraId="538FCBFA"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i/>
          <w:iCs/>
          <w:u w:val="single" w:color="453CCC"/>
          <w:lang w:val="en-US"/>
        </w:rPr>
        <w:t>Module II. An analysis of the main elements of the local system</w:t>
      </w:r>
    </w:p>
    <w:p w14:paraId="4E911BCC"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w:t>
      </w:r>
    </w:p>
    <w:p w14:paraId="2FE4431E" w14:textId="77777777" w:rsidR="003C47DB" w:rsidRDefault="003C47DB" w:rsidP="003C47DB">
      <w:pPr>
        <w:widowControl w:val="0"/>
        <w:autoSpaceDE w:val="0"/>
        <w:autoSpaceDN w:val="0"/>
        <w:adjustRightInd w:val="0"/>
        <w:jc w:val="both"/>
        <w:rPr>
          <w:rFonts w:cs="Arial"/>
          <w:u w:color="453CCC"/>
          <w:lang w:val="en-US"/>
        </w:rPr>
      </w:pPr>
    </w:p>
    <w:p w14:paraId="62EF9FDA" w14:textId="77777777" w:rsidR="003C47DB"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xml:space="preserve">This part of the course will be devoted to the analysis of a selected number of </w:t>
      </w:r>
      <w:r>
        <w:rPr>
          <w:rFonts w:cs="Arial"/>
          <w:u w:color="453CCC"/>
          <w:lang w:val="en-US"/>
        </w:rPr>
        <w:t>e</w:t>
      </w:r>
      <w:r w:rsidRPr="00862994">
        <w:rPr>
          <w:rFonts w:cs="Arial"/>
          <w:u w:color="453CCC"/>
          <w:lang w:val="en-US"/>
        </w:rPr>
        <w:t>specially relevant topics of the local insolvency system. The specific topics are to be determined based on the special circumstances of the jurisdiction where the training takes place, to ensure a bespoke product is offered to attendants. The classes will take the form of a dialogue between a local and an international expert, similar to the dynamics speaker-discussant now already widespread in academic workshops. The degree of development of the jurisdiction would determine who acts as “speaker” and who as “discussant”. Hence, in the more developed Eastern European jurisdictions, the local expert shall take the lead and the international expert will make comments/provide international examples by way of comparison. The idea of this “dialogue” approach is to engage attendants and to ensure proper theoretical and practical elements are conveyed at a high level. </w:t>
      </w:r>
      <w:r>
        <w:rPr>
          <w:rFonts w:cs="Arial"/>
          <w:u w:color="453CCC"/>
          <w:lang w:val="en-US"/>
        </w:rPr>
        <w:t xml:space="preserve">I would suggest that, in Romania, the main speaker is the local expert and an international expert will act as discussant. </w:t>
      </w:r>
    </w:p>
    <w:p w14:paraId="1DD452C0" w14:textId="77777777" w:rsidR="003C47DB" w:rsidRDefault="003C47DB" w:rsidP="003C47DB">
      <w:pPr>
        <w:widowControl w:val="0"/>
        <w:autoSpaceDE w:val="0"/>
        <w:autoSpaceDN w:val="0"/>
        <w:adjustRightInd w:val="0"/>
        <w:jc w:val="both"/>
        <w:rPr>
          <w:rFonts w:cs="Arial"/>
          <w:u w:color="453CCC"/>
          <w:lang w:val="en-US"/>
        </w:rPr>
      </w:pPr>
    </w:p>
    <w:p w14:paraId="75776072" w14:textId="77777777" w:rsidR="003C47DB" w:rsidRDefault="003C47DB" w:rsidP="003C47DB">
      <w:pPr>
        <w:widowControl w:val="0"/>
        <w:autoSpaceDE w:val="0"/>
        <w:autoSpaceDN w:val="0"/>
        <w:adjustRightInd w:val="0"/>
        <w:jc w:val="both"/>
        <w:rPr>
          <w:rFonts w:cs="Arial"/>
          <w:u w:color="453CCC"/>
          <w:lang w:val="en-US"/>
        </w:rPr>
      </w:pPr>
      <w:r>
        <w:rPr>
          <w:rFonts w:cs="Arial"/>
          <w:u w:color="453CCC"/>
          <w:lang w:val="en-US"/>
        </w:rPr>
        <w:t>The selected issues to be analyzed under the new Romanian system are the following:</w:t>
      </w:r>
    </w:p>
    <w:p w14:paraId="7FBBE74D" w14:textId="77777777" w:rsidR="003C47DB" w:rsidRDefault="003C47DB" w:rsidP="003C47DB">
      <w:pPr>
        <w:widowControl w:val="0"/>
        <w:autoSpaceDE w:val="0"/>
        <w:autoSpaceDN w:val="0"/>
        <w:adjustRightInd w:val="0"/>
        <w:jc w:val="both"/>
        <w:rPr>
          <w:rFonts w:cs="Arial"/>
          <w:u w:color="453CCC"/>
          <w:lang w:val="en-US"/>
        </w:rPr>
      </w:pPr>
    </w:p>
    <w:p w14:paraId="66A578C5" w14:textId="77777777" w:rsidR="003C47DB" w:rsidRPr="005878A4"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u w:color="453CCC"/>
          <w:lang w:val="en-US"/>
        </w:rPr>
      </w:pPr>
      <w:r w:rsidRPr="007D14A1">
        <w:rPr>
          <w:rFonts w:cs="Arial"/>
          <w:i/>
          <w:u w:color="453CCC"/>
          <w:lang w:val="en-US"/>
        </w:rPr>
        <w:t>General assessment of the new system against the benchmark of the international standard</w:t>
      </w:r>
      <w:r w:rsidRPr="005878A4">
        <w:rPr>
          <w:rFonts w:cs="Arial"/>
          <w:u w:color="453CCC"/>
          <w:lang w:val="en-US"/>
        </w:rPr>
        <w:t>. This part will allow attendants to identify the main problems of the system and will constitute an introduction to the rest of the course.</w:t>
      </w:r>
    </w:p>
    <w:p w14:paraId="75170AE2"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u w:color="453CCC"/>
          <w:lang w:val="en-US"/>
        </w:rPr>
      </w:pPr>
      <w:r w:rsidRPr="007D14A1">
        <w:rPr>
          <w:rFonts w:cs="Arial"/>
          <w:i/>
          <w:u w:color="453CCC"/>
          <w:lang w:val="en-US"/>
        </w:rPr>
        <w:t>The functioning of access to proceedings.</w:t>
      </w:r>
      <w:r>
        <w:rPr>
          <w:rFonts w:cs="Arial"/>
          <w:u w:color="453CCC"/>
          <w:lang w:val="en-US"/>
        </w:rPr>
        <w:t xml:space="preserve"> A combined analysis of the entry gate to pre-insolvency and insolvency proceedings with alternatives outside insolvency. The class will go in depth on the incentives and duties to access proceedings at an early stage. The analysis will be conducted both from the perspective of a company lawyer and the legal advisor of banks and other creditors. Liability of directors will be specially considered.</w:t>
      </w:r>
    </w:p>
    <w:p w14:paraId="100980D5"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u w:color="453CCC"/>
          <w:lang w:val="en-US"/>
        </w:rPr>
      </w:pPr>
      <w:r w:rsidRPr="007D14A1">
        <w:rPr>
          <w:rFonts w:cs="Arial"/>
          <w:i/>
          <w:u w:color="453CCC"/>
          <w:lang w:val="en-US"/>
        </w:rPr>
        <w:t>Effects of the opening of proceedings</w:t>
      </w:r>
      <w:r>
        <w:rPr>
          <w:rFonts w:cs="Arial"/>
          <w:u w:color="453CCC"/>
          <w:lang w:val="en-US"/>
        </w:rPr>
        <w:t>. In depth analysis of the effects of proceedings on the debtor; creditors (especially the practical elements of the stay over actions and executions); contracts (with special reference to financial contracts –the real design of ipso facto clauses in the jurisdiction-, public contracts and financial contracts); and antecedent transactions (and the relationship between avoidance actions and pure out of court contractual arrangements).</w:t>
      </w:r>
    </w:p>
    <w:p w14:paraId="57A02140"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u w:color="453CCC"/>
          <w:lang w:val="en-US"/>
        </w:rPr>
      </w:pPr>
      <w:r>
        <w:rPr>
          <w:rFonts w:cs="Arial"/>
          <w:i/>
          <w:u w:color="453CCC"/>
          <w:lang w:val="en-US"/>
        </w:rPr>
        <w:t>The institutional and procedural framework</w:t>
      </w:r>
      <w:r w:rsidRPr="00627101">
        <w:rPr>
          <w:rFonts w:cs="Arial"/>
          <w:u w:color="453CCC"/>
          <w:lang w:val="en-US"/>
        </w:rPr>
        <w:t>.</w:t>
      </w:r>
      <w:r>
        <w:rPr>
          <w:rFonts w:cs="Arial"/>
          <w:u w:color="453CCC"/>
          <w:lang w:val="en-US"/>
        </w:rPr>
        <w:t xml:space="preserve"> Analysis of the main actors in the proceedings. Insolvency practitioners, lawyers, and the bodies of creditors. Analysis of the shortcomings of the procedural framework.</w:t>
      </w:r>
    </w:p>
    <w:p w14:paraId="35288518"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u w:color="453CCC"/>
          <w:lang w:val="en-US"/>
        </w:rPr>
      </w:pPr>
      <w:r w:rsidRPr="007D14A1">
        <w:rPr>
          <w:rFonts w:cs="Arial"/>
          <w:i/>
          <w:u w:color="453CCC"/>
          <w:lang w:val="en-US"/>
        </w:rPr>
        <w:t xml:space="preserve"> The rescue of viable businesses through out of court proceedings</w:t>
      </w:r>
      <w:r>
        <w:rPr>
          <w:rFonts w:cs="Arial"/>
          <w:u w:color="453CCC"/>
          <w:lang w:val="en-US"/>
        </w:rPr>
        <w:t xml:space="preserve">. </w:t>
      </w:r>
    </w:p>
    <w:p w14:paraId="6E86B252"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i/>
          <w:u w:color="453CCC"/>
          <w:lang w:val="en-US"/>
        </w:rPr>
      </w:pPr>
      <w:r>
        <w:rPr>
          <w:rFonts w:cs="Arial"/>
          <w:i/>
          <w:u w:color="453CCC"/>
          <w:lang w:val="en-US"/>
        </w:rPr>
        <w:t xml:space="preserve">The rescue of viable businesses through </w:t>
      </w:r>
      <w:r w:rsidRPr="007D14A1">
        <w:rPr>
          <w:rFonts w:cs="Arial"/>
          <w:i/>
          <w:u w:color="453CCC"/>
          <w:lang w:val="en-US"/>
        </w:rPr>
        <w:t>in-court reorganization proceedings.</w:t>
      </w:r>
    </w:p>
    <w:p w14:paraId="4073F45E" w14:textId="77777777" w:rsidR="003C47DB" w:rsidRDefault="003C47DB" w:rsidP="003C47DB">
      <w:pPr>
        <w:pStyle w:val="Listparagraf"/>
        <w:widowControl w:val="0"/>
        <w:numPr>
          <w:ilvl w:val="0"/>
          <w:numId w:val="1"/>
        </w:numPr>
        <w:autoSpaceDE w:val="0"/>
        <w:autoSpaceDN w:val="0"/>
        <w:adjustRightInd w:val="0"/>
        <w:spacing w:before="120" w:after="120"/>
        <w:ind w:hanging="403"/>
        <w:contextualSpacing w:val="0"/>
        <w:jc w:val="both"/>
        <w:rPr>
          <w:rFonts w:cs="Arial"/>
          <w:i/>
          <w:u w:color="453CCC"/>
          <w:lang w:val="en-US"/>
        </w:rPr>
      </w:pPr>
      <w:r>
        <w:rPr>
          <w:rFonts w:cs="Arial"/>
          <w:i/>
          <w:u w:color="453CCC"/>
          <w:lang w:val="en-US"/>
        </w:rPr>
        <w:lastRenderedPageBreak/>
        <w:t xml:space="preserve">The rescue of viable businesses through liquidation. </w:t>
      </w:r>
    </w:p>
    <w:p w14:paraId="3B72884D" w14:textId="77777777" w:rsidR="003C47DB" w:rsidRDefault="003C47DB" w:rsidP="003C47DB">
      <w:pPr>
        <w:pStyle w:val="Listparagraf"/>
        <w:widowControl w:val="0"/>
        <w:autoSpaceDE w:val="0"/>
        <w:autoSpaceDN w:val="0"/>
        <w:adjustRightInd w:val="0"/>
        <w:spacing w:before="120" w:after="120"/>
        <w:ind w:left="760"/>
        <w:contextualSpacing w:val="0"/>
        <w:jc w:val="both"/>
        <w:rPr>
          <w:rFonts w:cs="Arial"/>
          <w:i/>
          <w:u w:color="453CCC"/>
          <w:lang w:val="en-US"/>
        </w:rPr>
      </w:pPr>
    </w:p>
    <w:p w14:paraId="33E3B6C2" w14:textId="77777777" w:rsidR="003C47DB" w:rsidRDefault="003C47DB" w:rsidP="003C47DB">
      <w:pPr>
        <w:pStyle w:val="Listparagraf"/>
        <w:widowControl w:val="0"/>
        <w:autoSpaceDE w:val="0"/>
        <w:autoSpaceDN w:val="0"/>
        <w:adjustRightInd w:val="0"/>
        <w:spacing w:before="120" w:after="120"/>
        <w:ind w:left="760"/>
        <w:contextualSpacing w:val="0"/>
        <w:jc w:val="both"/>
        <w:rPr>
          <w:rFonts w:cs="Arial"/>
          <w:i/>
          <w:u w:color="453CCC"/>
          <w:lang w:val="en-US"/>
        </w:rPr>
      </w:pPr>
    </w:p>
    <w:p w14:paraId="41E70093" w14:textId="77777777" w:rsidR="003C47DB" w:rsidRPr="00627101" w:rsidRDefault="003C47DB" w:rsidP="003C47DB">
      <w:pPr>
        <w:pStyle w:val="Listparagraf"/>
        <w:widowControl w:val="0"/>
        <w:autoSpaceDE w:val="0"/>
        <w:autoSpaceDN w:val="0"/>
        <w:adjustRightInd w:val="0"/>
        <w:spacing w:before="120" w:after="120"/>
        <w:ind w:left="760"/>
        <w:contextualSpacing w:val="0"/>
        <w:jc w:val="both"/>
        <w:rPr>
          <w:rFonts w:cs="Arial"/>
          <w:i/>
          <w:u w:color="453CCC"/>
          <w:lang w:val="en-US"/>
        </w:rPr>
      </w:pPr>
    </w:p>
    <w:tbl>
      <w:tblPr>
        <w:tblStyle w:val="Grilmedie3-Accentuare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3C47DB" w:rsidRPr="000223B5" w14:paraId="5BF9C3E5" w14:textId="77777777" w:rsidTr="00E42D4D">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560DE7E9" w14:textId="77777777" w:rsidR="003C47DB" w:rsidRPr="000223B5" w:rsidRDefault="003C47DB" w:rsidP="00E42D4D">
            <w:pPr>
              <w:rPr>
                <w:sz w:val="18"/>
                <w:szCs w:val="18"/>
                <w:lang w:val="en-GB"/>
              </w:rPr>
            </w:pPr>
          </w:p>
        </w:tc>
        <w:tc>
          <w:tcPr>
            <w:tcW w:w="2703" w:type="dxa"/>
            <w:vAlign w:val="center"/>
          </w:tcPr>
          <w:p w14:paraId="6E86ADAF" w14:textId="77777777" w:rsidR="003C47DB" w:rsidRPr="000223B5"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Thursday</w:t>
            </w:r>
          </w:p>
        </w:tc>
        <w:tc>
          <w:tcPr>
            <w:tcW w:w="2586" w:type="dxa"/>
            <w:vAlign w:val="center"/>
          </w:tcPr>
          <w:p w14:paraId="3FC1FCD3" w14:textId="77777777" w:rsidR="003C47DB" w:rsidRPr="000223B5"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Friday</w:t>
            </w:r>
          </w:p>
        </w:tc>
        <w:tc>
          <w:tcPr>
            <w:tcW w:w="3104" w:type="dxa"/>
            <w:vAlign w:val="center"/>
          </w:tcPr>
          <w:p w14:paraId="100CF403" w14:textId="77777777" w:rsidR="003C47DB" w:rsidRPr="000223B5" w:rsidRDefault="003C47DB" w:rsidP="00E42D4D">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Saturday</w:t>
            </w:r>
          </w:p>
        </w:tc>
      </w:tr>
      <w:tr w:rsidR="003C47DB" w:rsidRPr="000223B5" w14:paraId="485FB692" w14:textId="77777777" w:rsidTr="00E42D4D">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7DD19DC" w14:textId="77777777" w:rsidR="003C47DB" w:rsidRPr="000223B5" w:rsidRDefault="003C47DB" w:rsidP="00E42D4D">
            <w:pPr>
              <w:jc w:val="center"/>
              <w:rPr>
                <w:sz w:val="18"/>
                <w:szCs w:val="18"/>
                <w:lang w:val="en-GB"/>
              </w:rPr>
            </w:pPr>
            <w:r w:rsidRPr="000223B5">
              <w:rPr>
                <w:sz w:val="18"/>
                <w:szCs w:val="18"/>
                <w:lang w:val="en-GB"/>
              </w:rPr>
              <w:t>8.30-9.00</w:t>
            </w:r>
          </w:p>
        </w:tc>
        <w:tc>
          <w:tcPr>
            <w:tcW w:w="2703" w:type="dxa"/>
            <w:vAlign w:val="center"/>
          </w:tcPr>
          <w:p w14:paraId="1835D575" w14:textId="77777777" w:rsidR="003C47DB" w:rsidRPr="000223B5"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644A9662" w14:textId="77777777" w:rsidR="003C47DB" w:rsidRPr="000223B5"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1C78263D" w14:textId="77777777" w:rsidR="003C47DB" w:rsidRPr="000223B5"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0223B5">
              <w:rPr>
                <w:b/>
                <w:sz w:val="18"/>
                <w:szCs w:val="18"/>
                <w:lang w:val="en-GB"/>
              </w:rPr>
              <w:t>Coffee</w:t>
            </w:r>
          </w:p>
        </w:tc>
      </w:tr>
      <w:tr w:rsidR="003C47DB" w:rsidRPr="000223B5" w14:paraId="105F81A3" w14:textId="77777777" w:rsidTr="00E42D4D">
        <w:trPr>
          <w:trHeight w:val="163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AEBD2A9" w14:textId="77777777" w:rsidR="003C47DB" w:rsidRPr="000223B5" w:rsidRDefault="003C47DB" w:rsidP="00E42D4D">
            <w:pPr>
              <w:jc w:val="center"/>
              <w:rPr>
                <w:sz w:val="18"/>
                <w:szCs w:val="18"/>
                <w:lang w:val="en-GB"/>
              </w:rPr>
            </w:pPr>
            <w:r>
              <w:rPr>
                <w:sz w:val="18"/>
                <w:szCs w:val="18"/>
                <w:lang w:val="en-GB"/>
              </w:rPr>
              <w:t>9.00-10.30</w:t>
            </w:r>
          </w:p>
        </w:tc>
        <w:tc>
          <w:tcPr>
            <w:tcW w:w="2703" w:type="dxa"/>
          </w:tcPr>
          <w:p w14:paraId="63FD6C24"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0C2A9D9D"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9ED3F2A"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7D9D11C2" w14:textId="77777777" w:rsidR="003C47DB" w:rsidRPr="00FB6066" w:rsidRDefault="003C47DB" w:rsidP="00E42D4D">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0DBF4813"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E3CB978"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AA4361D"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Business rescue in liquidation</w:t>
            </w:r>
          </w:p>
          <w:p w14:paraId="08BCEAC1"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2869719"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Going concern sale in liquidation. Moment of the sale. Enabling framework: effect on contracts, tax, etc. Institutional setting. </w:t>
            </w:r>
          </w:p>
        </w:tc>
      </w:tr>
      <w:tr w:rsidR="003C47DB" w:rsidRPr="000223B5" w14:paraId="16C57F2A"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6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AFCFEBD" w14:textId="77777777" w:rsidR="003C47DB" w:rsidRPr="000223B5" w:rsidRDefault="003C47DB" w:rsidP="00E42D4D">
            <w:pPr>
              <w:jc w:val="center"/>
              <w:rPr>
                <w:sz w:val="18"/>
                <w:szCs w:val="18"/>
                <w:lang w:val="en-GB"/>
              </w:rPr>
            </w:pPr>
          </w:p>
        </w:tc>
      </w:tr>
      <w:tr w:rsidR="003C47DB" w:rsidRPr="000223B5" w14:paraId="3CA77AC2" w14:textId="77777777" w:rsidTr="00E42D4D">
        <w:trPr>
          <w:trHeight w:val="916"/>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1AC3451" w14:textId="77777777" w:rsidR="003C47DB" w:rsidRPr="000223B5" w:rsidRDefault="003C47DB" w:rsidP="00E42D4D">
            <w:pPr>
              <w:jc w:val="center"/>
              <w:rPr>
                <w:sz w:val="18"/>
                <w:szCs w:val="18"/>
                <w:lang w:val="en-GB"/>
              </w:rPr>
            </w:pPr>
            <w:r w:rsidRPr="000223B5">
              <w:rPr>
                <w:sz w:val="18"/>
                <w:szCs w:val="18"/>
                <w:lang w:val="en-GB"/>
              </w:rPr>
              <w:t>10.45-12.00</w:t>
            </w:r>
          </w:p>
        </w:tc>
        <w:tc>
          <w:tcPr>
            <w:tcW w:w="2703" w:type="dxa"/>
          </w:tcPr>
          <w:p w14:paraId="365FDAE6"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165D6A5F"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8C67690"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10BF20B2"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0F5610DA"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CASE STUDY I</w:t>
            </w:r>
          </w:p>
          <w:p w14:paraId="73D139E8" w14:textId="77777777" w:rsidR="003C47DB" w:rsidRPr="00B727F2"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Out of Court Reorganization with an international element</w:t>
            </w:r>
          </w:p>
        </w:tc>
      </w:tr>
      <w:tr w:rsidR="003C47DB" w:rsidRPr="000223B5" w14:paraId="14BD5B68" w14:textId="77777777" w:rsidTr="00E42D4D">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01D3986" w14:textId="77777777" w:rsidR="003C47DB" w:rsidRPr="000223B5" w:rsidRDefault="003C47DB" w:rsidP="00E42D4D">
            <w:pPr>
              <w:jc w:val="center"/>
              <w:rPr>
                <w:sz w:val="18"/>
                <w:szCs w:val="18"/>
                <w:lang w:val="en-GB"/>
              </w:rPr>
            </w:pPr>
            <w:r>
              <w:rPr>
                <w:sz w:val="18"/>
                <w:szCs w:val="18"/>
                <w:lang w:val="en-GB"/>
              </w:rPr>
              <w:t>12.15-2.00</w:t>
            </w:r>
          </w:p>
        </w:tc>
        <w:tc>
          <w:tcPr>
            <w:tcW w:w="2703" w:type="dxa"/>
          </w:tcPr>
          <w:p w14:paraId="7C34835F" w14:textId="77777777" w:rsidR="003C47DB" w:rsidRPr="000223B5"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05A0CE79" w14:textId="77777777" w:rsidR="003C47DB" w:rsidRPr="000223B5"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051DBCAC"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60DBB540" w14:textId="77777777" w:rsidR="003C47DB" w:rsidRDefault="003C47DB" w:rsidP="00E42D4D">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795350">
              <w:rPr>
                <w:b/>
                <w:sz w:val="18"/>
                <w:szCs w:val="18"/>
                <w:lang w:val="en-GB"/>
              </w:rPr>
              <w:t>CASE STUDY</w:t>
            </w:r>
            <w:r>
              <w:rPr>
                <w:b/>
                <w:sz w:val="18"/>
                <w:szCs w:val="18"/>
                <w:lang w:val="en-GB"/>
              </w:rPr>
              <w:t xml:space="preserve"> II</w:t>
            </w:r>
          </w:p>
          <w:p w14:paraId="67C53CE0" w14:textId="77777777" w:rsidR="003C47DB" w:rsidRPr="007D14A1" w:rsidRDefault="003C47DB" w:rsidP="00E42D4D">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 xml:space="preserve">Liability of directors and responsibility of shareholders. How to react. </w:t>
            </w:r>
          </w:p>
        </w:tc>
      </w:tr>
      <w:tr w:rsidR="003C47DB" w:rsidRPr="000223B5" w14:paraId="7A92EFC6" w14:textId="77777777" w:rsidTr="00E42D4D">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F686C30" w14:textId="77777777" w:rsidR="003C47DB" w:rsidRPr="000223B5" w:rsidRDefault="003C47DB" w:rsidP="00E42D4D">
            <w:pPr>
              <w:jc w:val="center"/>
              <w:rPr>
                <w:sz w:val="18"/>
                <w:szCs w:val="18"/>
                <w:lang w:val="en-GB"/>
              </w:rPr>
            </w:pPr>
            <w:r>
              <w:rPr>
                <w:sz w:val="18"/>
                <w:szCs w:val="18"/>
                <w:lang w:val="en-GB"/>
              </w:rPr>
              <w:t>2-2.30</w:t>
            </w:r>
          </w:p>
        </w:tc>
        <w:tc>
          <w:tcPr>
            <w:tcW w:w="2703" w:type="dxa"/>
          </w:tcPr>
          <w:p w14:paraId="240B4B40" w14:textId="77777777" w:rsidR="003C47DB" w:rsidRPr="000223B5" w:rsidRDefault="003C47DB" w:rsidP="00E42D4D">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b/>
                <w:sz w:val="18"/>
                <w:szCs w:val="18"/>
                <w:lang w:val="en-GB"/>
              </w:rPr>
              <w:t>Coffee, Welcome and Introduction</w:t>
            </w:r>
          </w:p>
        </w:tc>
        <w:tc>
          <w:tcPr>
            <w:tcW w:w="2586" w:type="dxa"/>
          </w:tcPr>
          <w:p w14:paraId="6052999C"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BDBDAD3" w14:textId="77777777" w:rsidR="003C47DB" w:rsidRPr="003F4F69"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Coffee</w:t>
            </w:r>
          </w:p>
        </w:tc>
        <w:tc>
          <w:tcPr>
            <w:tcW w:w="3104" w:type="dxa"/>
          </w:tcPr>
          <w:p w14:paraId="1C66B2BC"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2AE3A739" w14:textId="77777777" w:rsidR="003C47DB" w:rsidRDefault="003C47DB" w:rsidP="00E42D4D">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Q&amp;A</w:t>
            </w:r>
          </w:p>
        </w:tc>
      </w:tr>
      <w:tr w:rsidR="003C47DB" w:rsidRPr="000223B5" w14:paraId="569ABC4E"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205765D" w14:textId="77777777" w:rsidR="003C47DB" w:rsidRPr="000223B5" w:rsidRDefault="003C47DB" w:rsidP="00E42D4D">
            <w:pPr>
              <w:jc w:val="center"/>
              <w:rPr>
                <w:sz w:val="18"/>
                <w:szCs w:val="18"/>
                <w:lang w:val="en-GB"/>
              </w:rPr>
            </w:pPr>
          </w:p>
        </w:tc>
      </w:tr>
      <w:tr w:rsidR="003C47DB" w:rsidRPr="000223B5" w14:paraId="2F8634F5" w14:textId="77777777" w:rsidTr="00E42D4D">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936D32E" w14:textId="77777777" w:rsidR="003C47DB" w:rsidRPr="000223B5" w:rsidRDefault="003C47DB" w:rsidP="00E42D4D">
            <w:pPr>
              <w:jc w:val="center"/>
              <w:rPr>
                <w:sz w:val="18"/>
                <w:szCs w:val="18"/>
                <w:lang w:val="en-GB"/>
              </w:rPr>
            </w:pPr>
            <w:r>
              <w:rPr>
                <w:sz w:val="18"/>
                <w:szCs w:val="18"/>
                <w:lang w:val="en-GB"/>
              </w:rPr>
              <w:t>2.30-3</w:t>
            </w:r>
            <w:r w:rsidRPr="000223B5">
              <w:rPr>
                <w:sz w:val="18"/>
                <w:szCs w:val="18"/>
                <w:lang w:val="en-GB"/>
              </w:rPr>
              <w:t>.45</w:t>
            </w:r>
          </w:p>
        </w:tc>
        <w:tc>
          <w:tcPr>
            <w:tcW w:w="2703" w:type="dxa"/>
          </w:tcPr>
          <w:p w14:paraId="17505332"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context. The reform process and main features of the Romanian Insolvency system</w:t>
            </w:r>
          </w:p>
          <w:p w14:paraId="7F946393"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7ABD0A5D" w14:textId="77777777" w:rsidR="003C47DB" w:rsidRPr="001A50C1"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Main characteristics of Romanian system against benchmark of international standard. Other elements outside insolvency that hinder business rescue: the institutional setting; enforcement of judicial decisions, etc. </w:t>
            </w:r>
          </w:p>
          <w:p w14:paraId="41439DAD"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5A04D47B"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An analysis of the institutional framework</w:t>
            </w:r>
          </w:p>
          <w:p w14:paraId="06585C56"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06DB0711"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Strengths and weaknesses of the institutional framework. IPs, lawyers, bailiffs, experts. Problems of the procedural system. How to avoid delaying and other dishonest tactics. </w:t>
            </w:r>
          </w:p>
          <w:p w14:paraId="1BAAD704"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04078501"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3C47DB" w:rsidRPr="000223B5" w14:paraId="0457C1ED" w14:textId="77777777" w:rsidTr="00E42D4D">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AAA5A51" w14:textId="77777777" w:rsidR="003C47DB" w:rsidRPr="000223B5" w:rsidRDefault="003C47DB" w:rsidP="00E42D4D">
            <w:pPr>
              <w:jc w:val="center"/>
              <w:rPr>
                <w:sz w:val="18"/>
                <w:szCs w:val="18"/>
                <w:lang w:val="en-GB"/>
              </w:rPr>
            </w:pPr>
          </w:p>
        </w:tc>
      </w:tr>
      <w:tr w:rsidR="003C47DB" w:rsidRPr="000223B5" w14:paraId="2D494C43" w14:textId="77777777" w:rsidTr="00E42D4D">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5B7552C" w14:textId="77777777" w:rsidR="003C47DB" w:rsidRPr="000223B5" w:rsidRDefault="003C47DB" w:rsidP="00E42D4D">
            <w:pPr>
              <w:jc w:val="center"/>
              <w:rPr>
                <w:sz w:val="18"/>
                <w:szCs w:val="18"/>
                <w:lang w:val="en-GB"/>
              </w:rPr>
            </w:pPr>
            <w:r>
              <w:rPr>
                <w:sz w:val="18"/>
                <w:szCs w:val="18"/>
                <w:lang w:val="en-GB"/>
              </w:rPr>
              <w:t>4-5.15</w:t>
            </w:r>
          </w:p>
        </w:tc>
        <w:tc>
          <w:tcPr>
            <w:tcW w:w="2703" w:type="dxa"/>
          </w:tcPr>
          <w:p w14:paraId="554B5C0A"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functioning of the access to proceedings</w:t>
            </w:r>
          </w:p>
          <w:p w14:paraId="4716CA6B"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0603C18" w14:textId="77777777" w:rsidR="003C47DB" w:rsidRPr="00726BF1"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Entry gate to insolvency. Incentives for early filing. Relationship with legal alternatives (enforcement, etc.). Liability of directors.</w:t>
            </w:r>
          </w:p>
        </w:tc>
        <w:tc>
          <w:tcPr>
            <w:tcW w:w="2586" w:type="dxa"/>
          </w:tcPr>
          <w:p w14:paraId="16EE3AAA" w14:textId="77777777" w:rsidR="003C47DB"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Business Rescue in out of court proceedings</w:t>
            </w:r>
          </w:p>
          <w:p w14:paraId="4C4D4C58"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4C76BBD6"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sz w:val="18"/>
                <w:szCs w:val="18"/>
                <w:lang w:val="en-GB"/>
              </w:rPr>
              <w:t xml:space="preserve"> </w:t>
            </w:r>
            <w:r>
              <w:rPr>
                <w:sz w:val="18"/>
                <w:szCs w:val="18"/>
                <w:lang w:val="en-GB"/>
              </w:rPr>
              <w:t xml:space="preserve">How to work out an agreement. Protection for the agreement. Protection for new financing facilities. Possibilities to restructure the business. Limits to financial restructuring. </w:t>
            </w:r>
          </w:p>
        </w:tc>
        <w:tc>
          <w:tcPr>
            <w:tcW w:w="3104" w:type="dxa"/>
          </w:tcPr>
          <w:p w14:paraId="0210E1DA"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CB52B41" w14:textId="77777777" w:rsidR="003C47DB" w:rsidRPr="000223B5" w:rsidRDefault="003C47DB" w:rsidP="00E42D4D">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3C47DB" w:rsidRPr="000223B5" w14:paraId="6E8E2307" w14:textId="77777777" w:rsidTr="00E42D4D">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FFF632E" w14:textId="77777777" w:rsidR="003C47DB" w:rsidRDefault="003C47DB" w:rsidP="00E42D4D">
            <w:pPr>
              <w:jc w:val="center"/>
              <w:rPr>
                <w:sz w:val="18"/>
                <w:szCs w:val="18"/>
                <w:lang w:val="en-GB"/>
              </w:rPr>
            </w:pPr>
            <w:r>
              <w:rPr>
                <w:sz w:val="18"/>
                <w:szCs w:val="18"/>
                <w:lang w:val="en-GB"/>
              </w:rPr>
              <w:lastRenderedPageBreak/>
              <w:t>5.30-7</w:t>
            </w:r>
          </w:p>
        </w:tc>
        <w:tc>
          <w:tcPr>
            <w:tcW w:w="2703" w:type="dxa"/>
            <w:shd w:val="clear" w:color="auto" w:fill="EAF1DD" w:themeFill="accent3" w:themeFillTint="33"/>
          </w:tcPr>
          <w:p w14:paraId="338CC86F"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Effects of the opening of proceedings</w:t>
            </w:r>
          </w:p>
          <w:p w14:paraId="3AF21361"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73DE4DE5" w14:textId="77777777" w:rsidR="003C47DB" w:rsidRPr="00627101"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Effects on the debtor, on creditors (stay), on contracts and in avoidance actions.</w:t>
            </w:r>
          </w:p>
        </w:tc>
        <w:tc>
          <w:tcPr>
            <w:tcW w:w="2586" w:type="dxa"/>
            <w:shd w:val="clear" w:color="auto" w:fill="EAF1DD" w:themeFill="accent3" w:themeFillTint="33"/>
          </w:tcPr>
          <w:p w14:paraId="325F4C58"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Business rescue in formal reorganization proceedings</w:t>
            </w:r>
          </w:p>
          <w:p w14:paraId="0D009314"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6A172833" w14:textId="77777777" w:rsidR="003C47DB" w:rsidRPr="007E4F86" w:rsidRDefault="003C47DB" w:rsidP="00E42D4D">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Limits to the content of the plan. Problems posed by the context. Advantages over out of court. Examples from practice</w:t>
            </w:r>
          </w:p>
          <w:p w14:paraId="156E26BD" w14:textId="77777777" w:rsidR="003C47DB"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3DD0DDF4" w14:textId="77777777" w:rsidR="003C47DB" w:rsidRPr="000223B5"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10DFA373" w14:textId="77777777" w:rsidR="003C47DB" w:rsidRPr="000223B5" w:rsidRDefault="003C47DB" w:rsidP="00E42D4D">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5DE2C2D8" w14:textId="77777777" w:rsidR="003C47DB" w:rsidRPr="001732B2" w:rsidRDefault="003C47DB" w:rsidP="003C47DB">
      <w:pPr>
        <w:widowControl w:val="0"/>
        <w:autoSpaceDE w:val="0"/>
        <w:autoSpaceDN w:val="0"/>
        <w:adjustRightInd w:val="0"/>
        <w:jc w:val="center"/>
        <w:rPr>
          <w:rFonts w:cs="Arial"/>
          <w:b/>
          <w:u w:color="453CCC"/>
          <w:lang w:val="en-US"/>
        </w:rPr>
      </w:pPr>
      <w:r>
        <w:rPr>
          <w:rFonts w:cs="Arial"/>
          <w:b/>
          <w:u w:color="453CCC"/>
          <w:lang w:val="en-US"/>
        </w:rPr>
        <w:t>Agenda for Module II</w:t>
      </w:r>
    </w:p>
    <w:p w14:paraId="5F59C9AF"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w:t>
      </w:r>
    </w:p>
    <w:p w14:paraId="129B2A06" w14:textId="77777777" w:rsidR="003C47DB" w:rsidRDefault="003C47DB" w:rsidP="003C47DB">
      <w:pPr>
        <w:widowControl w:val="0"/>
        <w:autoSpaceDE w:val="0"/>
        <w:autoSpaceDN w:val="0"/>
        <w:adjustRightInd w:val="0"/>
        <w:jc w:val="both"/>
        <w:rPr>
          <w:rFonts w:cs="Arial"/>
          <w:i/>
          <w:iCs/>
          <w:u w:val="single" w:color="453CCC"/>
          <w:lang w:val="en-US"/>
        </w:rPr>
      </w:pPr>
    </w:p>
    <w:p w14:paraId="65A7EDC9" w14:textId="77777777" w:rsidR="003C47DB" w:rsidRDefault="003C47DB" w:rsidP="003C47DB">
      <w:pPr>
        <w:widowControl w:val="0"/>
        <w:autoSpaceDE w:val="0"/>
        <w:autoSpaceDN w:val="0"/>
        <w:adjustRightInd w:val="0"/>
        <w:jc w:val="both"/>
        <w:rPr>
          <w:rFonts w:cs="Arial"/>
          <w:i/>
          <w:iCs/>
          <w:u w:val="single" w:color="453CCC"/>
          <w:lang w:val="en-US"/>
        </w:rPr>
      </w:pPr>
    </w:p>
    <w:p w14:paraId="765A2E67"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i/>
          <w:iCs/>
          <w:u w:val="single" w:color="453CCC"/>
          <w:lang w:val="en-US"/>
        </w:rPr>
        <w:t>Module III. On line follow-up and case/paper submission </w:t>
      </w:r>
    </w:p>
    <w:p w14:paraId="7CB32551"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w:t>
      </w:r>
    </w:p>
    <w:p w14:paraId="7FAB9706" w14:textId="77777777" w:rsidR="003C47DB" w:rsidRDefault="003C47DB" w:rsidP="003C47DB">
      <w:pPr>
        <w:widowControl w:val="0"/>
        <w:autoSpaceDE w:val="0"/>
        <w:autoSpaceDN w:val="0"/>
        <w:adjustRightInd w:val="0"/>
        <w:jc w:val="both"/>
        <w:rPr>
          <w:rFonts w:cs="Arial"/>
          <w:u w:color="453CCC"/>
          <w:lang w:val="en-US"/>
        </w:rPr>
      </w:pPr>
    </w:p>
    <w:p w14:paraId="74CDB218" w14:textId="77777777" w:rsidR="003C47DB"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xml:space="preserve">This final part of the course would consist of an on-line distant training. Participants will be provided with questionnaires, decisions and cases to solve during a period of 3 months. Correction and occasional on-line tutoring should be made available to participants during the said period. Each participant will then choose a topic of analysis, to be selected among a list of options provided by the Course </w:t>
      </w:r>
      <w:proofErr w:type="spellStart"/>
      <w:r w:rsidRPr="00862994">
        <w:rPr>
          <w:rFonts w:cs="Arial"/>
          <w:u w:color="453CCC"/>
          <w:lang w:val="en-US"/>
        </w:rPr>
        <w:t>organisers</w:t>
      </w:r>
      <w:proofErr w:type="spellEnd"/>
      <w:r w:rsidRPr="00862994">
        <w:rPr>
          <w:rFonts w:cs="Arial"/>
          <w:u w:color="453CCC"/>
          <w:lang w:val="en-US"/>
        </w:rPr>
        <w:t xml:space="preserve">. They will have to write an essay of about 10.000 words on the topic. A committee appointed ad hoc will review the papers and choose the best for each topic. </w:t>
      </w:r>
      <w:r>
        <w:rPr>
          <w:rFonts w:cs="Arial"/>
          <w:u w:color="453CCC"/>
          <w:lang w:val="en-US"/>
        </w:rPr>
        <w:t xml:space="preserve">The committee will be composed of 4 members, 2 international and 2 national. </w:t>
      </w:r>
    </w:p>
    <w:p w14:paraId="123638BC" w14:textId="77777777" w:rsidR="003C47DB" w:rsidRDefault="003C47DB" w:rsidP="003C47DB">
      <w:pPr>
        <w:widowControl w:val="0"/>
        <w:autoSpaceDE w:val="0"/>
        <w:autoSpaceDN w:val="0"/>
        <w:adjustRightInd w:val="0"/>
        <w:jc w:val="both"/>
        <w:rPr>
          <w:rFonts w:cs="Arial"/>
          <w:u w:color="453CCC"/>
          <w:lang w:val="en-US"/>
        </w:rPr>
      </w:pPr>
    </w:p>
    <w:p w14:paraId="452B3B12"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xml:space="preserve">Those selected will present the paper at the final workshop of the course, to be delivered at the end of the year. A national expert will act as discussant of the paper and an international expert will chair the panels. We shall consider publication by (or with the support of) </w:t>
      </w:r>
      <w:proofErr w:type="spellStart"/>
      <w:r w:rsidRPr="00862994">
        <w:rPr>
          <w:rFonts w:cs="Arial"/>
          <w:u w:color="453CCC"/>
          <w:lang w:val="en-US"/>
        </w:rPr>
        <w:t>Insol</w:t>
      </w:r>
      <w:proofErr w:type="spellEnd"/>
      <w:r w:rsidRPr="00862994">
        <w:rPr>
          <w:rFonts w:cs="Arial"/>
          <w:u w:color="453CCC"/>
          <w:lang w:val="en-US"/>
        </w:rPr>
        <w:t xml:space="preserve"> Europe of the best papers, to the extent they are worthy of publication. </w:t>
      </w:r>
    </w:p>
    <w:p w14:paraId="2685F2EA" w14:textId="77777777" w:rsidR="003C47DB" w:rsidRPr="00862994" w:rsidRDefault="003C47DB" w:rsidP="003C47DB">
      <w:pPr>
        <w:widowControl w:val="0"/>
        <w:autoSpaceDE w:val="0"/>
        <w:autoSpaceDN w:val="0"/>
        <w:adjustRightInd w:val="0"/>
        <w:jc w:val="both"/>
        <w:rPr>
          <w:rFonts w:cs="Arial"/>
          <w:u w:color="453CCC"/>
          <w:lang w:val="en-US"/>
        </w:rPr>
      </w:pPr>
      <w:r w:rsidRPr="00862994">
        <w:rPr>
          <w:rFonts w:cs="Arial"/>
          <w:u w:color="453CCC"/>
          <w:lang w:val="en-US"/>
        </w:rPr>
        <w:t> </w:t>
      </w:r>
    </w:p>
    <w:p w14:paraId="18D81C15" w14:textId="77777777" w:rsidR="00B00CE3" w:rsidRDefault="00B00CE3" w:rsidP="003C47DB">
      <w:pPr>
        <w:rPr>
          <w:rFonts w:cs="Arial"/>
          <w:b/>
          <w:bCs/>
          <w:u w:color="453CCC"/>
          <w:lang w:val="en-US"/>
        </w:rPr>
      </w:pPr>
    </w:p>
    <w:p w14:paraId="35BA03FB" w14:textId="77777777" w:rsidR="00B00CE3" w:rsidRDefault="00B00CE3" w:rsidP="003C47DB">
      <w:pPr>
        <w:rPr>
          <w:rFonts w:cs="Arial"/>
          <w:b/>
          <w:bCs/>
          <w:u w:color="453CCC"/>
          <w:lang w:val="en-US"/>
        </w:rPr>
      </w:pPr>
    </w:p>
    <w:p w14:paraId="28839E0A" w14:textId="77777777" w:rsidR="00B00CE3" w:rsidRDefault="00B00CE3" w:rsidP="00B00CE3">
      <w:pPr>
        <w:numPr>
          <w:ilvl w:val="0"/>
          <w:numId w:val="2"/>
        </w:numPr>
        <w:spacing w:before="100" w:beforeAutospacing="1" w:after="100" w:afterAutospacing="1"/>
        <w:rPr>
          <w:rFonts w:eastAsia="Times New Roman"/>
          <w:lang w:val="ro-RO" w:eastAsia="ro-RO"/>
        </w:rPr>
      </w:pPr>
      <w:r>
        <w:rPr>
          <w:rFonts w:eastAsia="Times New Roman"/>
        </w:rPr>
        <w:t>Location: Hotel Caro Bucuresti, Eminescu Room</w:t>
      </w:r>
    </w:p>
    <w:p w14:paraId="5C52A565" w14:textId="77777777" w:rsidR="00B00CE3" w:rsidRDefault="00B00CE3" w:rsidP="00B00CE3">
      <w:pPr>
        <w:rPr>
          <w:rFonts w:eastAsiaTheme="minorHAnsi"/>
        </w:rPr>
      </w:pPr>
    </w:p>
    <w:p w14:paraId="69A003A2" w14:textId="77777777" w:rsidR="00B00CE3" w:rsidRDefault="00B00CE3" w:rsidP="00B00CE3">
      <w:r>
        <w:rPr>
          <w:sz w:val="21"/>
          <w:szCs w:val="21"/>
        </w:rPr>
        <w:t>Module I. on Thursday 2, Friday 3 (14.00 to 19.00) &amp; Saturday 4 February 2017 (9.00 to 14.30)</w:t>
      </w:r>
    </w:p>
    <w:p w14:paraId="3AB845ED" w14:textId="77777777" w:rsidR="00B00CE3" w:rsidRDefault="00B00CE3" w:rsidP="00B00CE3">
      <w:r>
        <w:rPr>
          <w:sz w:val="21"/>
          <w:szCs w:val="21"/>
        </w:rPr>
        <w:t>Module II. on Thursday 29 June, Friday 30 June (14.00 to 19.00) &amp; Saturday 1 July 2017 (9.00 to 14.30)</w:t>
      </w:r>
    </w:p>
    <w:p w14:paraId="4A5F7A67" w14:textId="77777777" w:rsidR="00B00CE3" w:rsidRDefault="00B00CE3" w:rsidP="00B00CE3">
      <w:r>
        <w:rPr>
          <w:sz w:val="21"/>
          <w:szCs w:val="21"/>
          <w:lang w:val="en-GB"/>
        </w:rPr>
        <w:t xml:space="preserve">Module III. </w:t>
      </w:r>
      <w:proofErr w:type="gramStart"/>
      <w:r>
        <w:rPr>
          <w:sz w:val="21"/>
          <w:szCs w:val="21"/>
          <w:lang w:val="en-GB"/>
        </w:rPr>
        <w:t>on</w:t>
      </w:r>
      <w:proofErr w:type="gramEnd"/>
      <w:r>
        <w:rPr>
          <w:sz w:val="21"/>
          <w:szCs w:val="21"/>
          <w:lang w:val="en-GB"/>
        </w:rPr>
        <w:t xml:space="preserve"> Friday 24 &amp; Saturday 25 November 2017</w:t>
      </w:r>
    </w:p>
    <w:p w14:paraId="4BE78B12" w14:textId="77777777" w:rsidR="00B00CE3" w:rsidRDefault="00B00CE3" w:rsidP="00B00CE3"/>
    <w:p w14:paraId="0CCF2096" w14:textId="77777777" w:rsidR="00B00CE3" w:rsidRDefault="00B00CE3" w:rsidP="00B00CE3">
      <w:pPr>
        <w:numPr>
          <w:ilvl w:val="0"/>
          <w:numId w:val="3"/>
        </w:numPr>
        <w:spacing w:before="100" w:beforeAutospacing="1" w:after="100" w:afterAutospacing="1"/>
        <w:rPr>
          <w:rFonts w:eastAsia="Times New Roman"/>
        </w:rPr>
      </w:pPr>
      <w:r>
        <w:rPr>
          <w:rFonts w:eastAsia="Times New Roman"/>
          <w:sz w:val="21"/>
          <w:szCs w:val="21"/>
        </w:rPr>
        <w:t>International Expert Team</w:t>
      </w:r>
    </w:p>
    <w:p w14:paraId="0121D551" w14:textId="77777777" w:rsidR="00B00CE3" w:rsidRDefault="00B00CE3" w:rsidP="00B00CE3">
      <w:pPr>
        <w:ind w:hanging="360"/>
        <w:jc w:val="both"/>
        <w:rPr>
          <w:rFonts w:eastAsiaTheme="minorHAnsi"/>
        </w:rPr>
      </w:pPr>
    </w:p>
    <w:p w14:paraId="0A012818" w14:textId="77777777" w:rsidR="00B00CE3" w:rsidRDefault="00B00CE3" w:rsidP="00B00CE3">
      <w:pPr>
        <w:ind w:hanging="360"/>
        <w:jc w:val="both"/>
      </w:pPr>
    </w:p>
    <w:p w14:paraId="696BE5E0" w14:textId="77777777" w:rsidR="00B00CE3" w:rsidRDefault="00B00CE3" w:rsidP="00B00CE3">
      <w:pPr>
        <w:ind w:hanging="360"/>
        <w:jc w:val="both"/>
      </w:pPr>
      <w:r>
        <w:rPr>
          <w:sz w:val="21"/>
          <w:szCs w:val="21"/>
        </w:rPr>
        <w:t xml:space="preserve">1) Prof. Ignacio Tirado (Univ. Autonoma de Madrid, Spain) </w:t>
      </w:r>
      <w:r>
        <w:rPr>
          <w:sz w:val="21"/>
          <w:szCs w:val="21"/>
          <w:shd w:val="clear" w:color="auto" w:fill="00FF00"/>
        </w:rPr>
        <w:t>CONFIRMED</w:t>
      </w:r>
    </w:p>
    <w:p w14:paraId="6B5EC0D0" w14:textId="77777777" w:rsidR="00B00CE3" w:rsidRDefault="00B00CE3" w:rsidP="00B00CE3">
      <w:pPr>
        <w:pStyle w:val="xmsonormal"/>
        <w:spacing w:after="0" w:afterAutospacing="0"/>
        <w:ind w:hanging="360"/>
        <w:jc w:val="both"/>
        <w:rPr>
          <w:lang w:val="en-GB"/>
        </w:rPr>
      </w:pPr>
      <w:r>
        <w:rPr>
          <w:sz w:val="21"/>
          <w:szCs w:val="21"/>
          <w:lang w:val="en-GB"/>
        </w:rPr>
        <w:t xml:space="preserve">2) </w:t>
      </w:r>
      <w:proofErr w:type="spellStart"/>
      <w:r>
        <w:rPr>
          <w:sz w:val="21"/>
          <w:szCs w:val="21"/>
          <w:lang w:val="en-GB"/>
        </w:rPr>
        <w:t>Prof.</w:t>
      </w:r>
      <w:proofErr w:type="spellEnd"/>
      <w:r>
        <w:rPr>
          <w:sz w:val="21"/>
          <w:szCs w:val="21"/>
          <w:lang w:val="en-GB"/>
        </w:rPr>
        <w:t xml:space="preserve"> </w:t>
      </w:r>
      <w:proofErr w:type="spellStart"/>
      <w:r>
        <w:rPr>
          <w:sz w:val="21"/>
          <w:szCs w:val="21"/>
          <w:lang w:val="en-GB"/>
        </w:rPr>
        <w:t>Irit</w:t>
      </w:r>
      <w:proofErr w:type="spellEnd"/>
      <w:r>
        <w:rPr>
          <w:sz w:val="21"/>
          <w:szCs w:val="21"/>
          <w:lang w:val="en-GB"/>
        </w:rPr>
        <w:t xml:space="preserve"> </w:t>
      </w:r>
      <w:proofErr w:type="spellStart"/>
      <w:r>
        <w:rPr>
          <w:sz w:val="21"/>
          <w:szCs w:val="21"/>
          <w:lang w:val="en-GB"/>
        </w:rPr>
        <w:t>Mevorach</w:t>
      </w:r>
      <w:proofErr w:type="spellEnd"/>
      <w:r>
        <w:rPr>
          <w:sz w:val="21"/>
          <w:szCs w:val="21"/>
          <w:lang w:val="en-GB"/>
        </w:rPr>
        <w:t xml:space="preserve"> (Univ. Nottingham, UK) </w:t>
      </w:r>
      <w:r>
        <w:rPr>
          <w:sz w:val="21"/>
          <w:szCs w:val="21"/>
          <w:shd w:val="clear" w:color="auto" w:fill="00FF00"/>
          <w:lang w:val="en-GB"/>
        </w:rPr>
        <w:t>CONFIRMED</w:t>
      </w:r>
    </w:p>
    <w:p w14:paraId="2D17EC71" w14:textId="77777777" w:rsidR="00B00CE3" w:rsidRDefault="00B00CE3" w:rsidP="00B00CE3">
      <w:pPr>
        <w:pStyle w:val="xmsonormal"/>
        <w:spacing w:after="0" w:afterAutospacing="0"/>
        <w:ind w:hanging="360"/>
        <w:jc w:val="both"/>
        <w:rPr>
          <w:lang w:val="en-GB"/>
        </w:rPr>
      </w:pPr>
      <w:r>
        <w:rPr>
          <w:sz w:val="21"/>
          <w:szCs w:val="21"/>
          <w:lang w:val="en-GB"/>
        </w:rPr>
        <w:lastRenderedPageBreak/>
        <w:t xml:space="preserve">3) </w:t>
      </w:r>
      <w:proofErr w:type="spellStart"/>
      <w:r>
        <w:rPr>
          <w:sz w:val="21"/>
          <w:szCs w:val="21"/>
          <w:lang w:val="en-GB"/>
        </w:rPr>
        <w:t>Prof.</w:t>
      </w:r>
      <w:proofErr w:type="spellEnd"/>
      <w:r>
        <w:rPr>
          <w:sz w:val="21"/>
          <w:szCs w:val="21"/>
          <w:lang w:val="en-GB"/>
        </w:rPr>
        <w:t xml:space="preserve"> </w:t>
      </w:r>
      <w:proofErr w:type="spellStart"/>
      <w:r>
        <w:rPr>
          <w:sz w:val="21"/>
          <w:szCs w:val="21"/>
          <w:lang w:val="en-GB"/>
        </w:rPr>
        <w:t>Riz</w:t>
      </w:r>
      <w:proofErr w:type="spellEnd"/>
      <w:r>
        <w:rPr>
          <w:sz w:val="21"/>
          <w:szCs w:val="21"/>
          <w:lang w:val="en-GB"/>
        </w:rPr>
        <w:t xml:space="preserve"> </w:t>
      </w:r>
      <w:proofErr w:type="spellStart"/>
      <w:r>
        <w:rPr>
          <w:sz w:val="21"/>
          <w:szCs w:val="21"/>
          <w:lang w:val="en-GB"/>
        </w:rPr>
        <w:t>Mokal</w:t>
      </w:r>
      <w:proofErr w:type="spellEnd"/>
      <w:r>
        <w:rPr>
          <w:sz w:val="21"/>
          <w:szCs w:val="21"/>
          <w:lang w:val="en-GB"/>
        </w:rPr>
        <w:t xml:space="preserve"> (University College London, UK) </w:t>
      </w:r>
      <w:r>
        <w:rPr>
          <w:sz w:val="21"/>
          <w:szCs w:val="21"/>
          <w:shd w:val="clear" w:color="auto" w:fill="00FF00"/>
          <w:lang w:val="en-GB"/>
        </w:rPr>
        <w:t>CONFIRMED</w:t>
      </w:r>
    </w:p>
    <w:p w14:paraId="09D66EB7" w14:textId="77777777" w:rsidR="00B00CE3" w:rsidRDefault="00B00CE3" w:rsidP="00B00CE3">
      <w:pPr>
        <w:pStyle w:val="xmsonormal"/>
        <w:spacing w:after="0" w:afterAutospacing="0"/>
        <w:ind w:hanging="360"/>
        <w:jc w:val="both"/>
        <w:rPr>
          <w:lang w:val="en-GB"/>
        </w:rPr>
      </w:pPr>
      <w:r>
        <w:rPr>
          <w:sz w:val="21"/>
          <w:szCs w:val="21"/>
          <w:lang w:val="en-GB"/>
        </w:rPr>
        <w:t xml:space="preserve">4) </w:t>
      </w:r>
      <w:proofErr w:type="spellStart"/>
      <w:r>
        <w:rPr>
          <w:sz w:val="21"/>
          <w:szCs w:val="21"/>
          <w:lang w:val="en-GB"/>
        </w:rPr>
        <w:t>Prof.</w:t>
      </w:r>
      <w:proofErr w:type="spellEnd"/>
      <w:r>
        <w:rPr>
          <w:sz w:val="21"/>
          <w:szCs w:val="21"/>
          <w:lang w:val="en-GB"/>
        </w:rPr>
        <w:t xml:space="preserve"> Janis </w:t>
      </w:r>
      <w:proofErr w:type="spellStart"/>
      <w:r>
        <w:rPr>
          <w:sz w:val="21"/>
          <w:szCs w:val="21"/>
          <w:lang w:val="en-GB"/>
        </w:rPr>
        <w:t>Sarra</w:t>
      </w:r>
      <w:proofErr w:type="spellEnd"/>
      <w:r>
        <w:rPr>
          <w:sz w:val="21"/>
          <w:szCs w:val="21"/>
          <w:lang w:val="en-GB"/>
        </w:rPr>
        <w:t xml:space="preserve"> (University of British Columbia, Canada) </w:t>
      </w:r>
      <w:r>
        <w:rPr>
          <w:sz w:val="21"/>
          <w:szCs w:val="21"/>
          <w:shd w:val="clear" w:color="auto" w:fill="00FF00"/>
          <w:lang w:val="en-GB"/>
        </w:rPr>
        <w:t>CONFIRMED</w:t>
      </w:r>
    </w:p>
    <w:p w14:paraId="026216C9" w14:textId="77777777" w:rsidR="00B00CE3" w:rsidRDefault="00B00CE3" w:rsidP="00B00CE3">
      <w:pPr>
        <w:pStyle w:val="xmsonormal"/>
        <w:spacing w:after="0" w:afterAutospacing="0"/>
        <w:ind w:hanging="360"/>
        <w:jc w:val="both"/>
        <w:rPr>
          <w:lang w:val="en-GB"/>
        </w:rPr>
      </w:pPr>
      <w:r>
        <w:rPr>
          <w:sz w:val="21"/>
          <w:szCs w:val="21"/>
          <w:lang w:val="en-GB"/>
        </w:rPr>
        <w:t xml:space="preserve">5) </w:t>
      </w:r>
      <w:proofErr w:type="spellStart"/>
      <w:r>
        <w:rPr>
          <w:sz w:val="21"/>
          <w:szCs w:val="21"/>
          <w:lang w:val="en-GB"/>
        </w:rPr>
        <w:t>Prof.</w:t>
      </w:r>
      <w:proofErr w:type="spellEnd"/>
      <w:r>
        <w:rPr>
          <w:sz w:val="21"/>
          <w:szCs w:val="21"/>
          <w:lang w:val="en-GB"/>
        </w:rPr>
        <w:t xml:space="preserve"> Christoph Paulus (Humboldt University Berlin, Germany) </w:t>
      </w:r>
      <w:r>
        <w:rPr>
          <w:sz w:val="21"/>
          <w:szCs w:val="21"/>
          <w:shd w:val="clear" w:color="auto" w:fill="00FF00"/>
          <w:lang w:val="en-GB"/>
        </w:rPr>
        <w:t>CONFIRMED</w:t>
      </w:r>
    </w:p>
    <w:p w14:paraId="0810C842" w14:textId="77777777" w:rsidR="00B00CE3" w:rsidRDefault="00B00CE3" w:rsidP="00B00CE3">
      <w:pPr>
        <w:pStyle w:val="xmsonormal"/>
        <w:spacing w:after="0" w:afterAutospacing="0"/>
        <w:ind w:hanging="360"/>
        <w:jc w:val="both"/>
        <w:rPr>
          <w:lang w:val="en-GB"/>
        </w:rPr>
      </w:pPr>
      <w:r>
        <w:rPr>
          <w:sz w:val="21"/>
          <w:szCs w:val="21"/>
          <w:lang w:val="en-GB"/>
        </w:rPr>
        <w:t xml:space="preserve">6) Michael </w:t>
      </w:r>
      <w:proofErr w:type="spellStart"/>
      <w:r>
        <w:rPr>
          <w:sz w:val="21"/>
          <w:szCs w:val="21"/>
          <w:lang w:val="en-GB"/>
        </w:rPr>
        <w:t>Veder</w:t>
      </w:r>
      <w:proofErr w:type="spellEnd"/>
      <w:r>
        <w:rPr>
          <w:sz w:val="21"/>
          <w:szCs w:val="21"/>
          <w:lang w:val="en-GB"/>
        </w:rPr>
        <w:t xml:space="preserve"> (</w:t>
      </w:r>
      <w:proofErr w:type="spellStart"/>
      <w:r>
        <w:rPr>
          <w:sz w:val="21"/>
          <w:szCs w:val="21"/>
          <w:lang w:val="en-GB"/>
        </w:rPr>
        <w:t>Radboud</w:t>
      </w:r>
      <w:proofErr w:type="spellEnd"/>
      <w:r>
        <w:rPr>
          <w:sz w:val="21"/>
          <w:szCs w:val="21"/>
          <w:lang w:val="en-GB"/>
        </w:rPr>
        <w:t xml:space="preserve"> University Nijmegen, </w:t>
      </w:r>
      <w:proofErr w:type="spellStart"/>
      <w:r>
        <w:rPr>
          <w:sz w:val="21"/>
          <w:szCs w:val="21"/>
          <w:lang w:val="en-GB"/>
        </w:rPr>
        <w:t>Resor</w:t>
      </w:r>
      <w:proofErr w:type="spellEnd"/>
      <w:r>
        <w:rPr>
          <w:sz w:val="21"/>
          <w:szCs w:val="21"/>
          <w:lang w:val="en-GB"/>
        </w:rPr>
        <w:t xml:space="preserve">, </w:t>
      </w:r>
      <w:proofErr w:type="gramStart"/>
      <w:r>
        <w:rPr>
          <w:sz w:val="21"/>
          <w:szCs w:val="21"/>
          <w:lang w:val="en-GB"/>
        </w:rPr>
        <w:t>The</w:t>
      </w:r>
      <w:proofErr w:type="gramEnd"/>
      <w:r>
        <w:rPr>
          <w:sz w:val="21"/>
          <w:szCs w:val="21"/>
          <w:lang w:val="en-GB"/>
        </w:rPr>
        <w:t xml:space="preserve"> Netherlands)</w:t>
      </w:r>
      <w:r>
        <w:rPr>
          <w:sz w:val="21"/>
          <w:szCs w:val="21"/>
          <w:shd w:val="clear" w:color="auto" w:fill="00FF00"/>
          <w:lang w:val="en-GB"/>
        </w:rPr>
        <w:t xml:space="preserve"> CONFIRMED</w:t>
      </w:r>
    </w:p>
    <w:p w14:paraId="7BC4B885" w14:textId="77777777" w:rsidR="003C47DB" w:rsidRPr="00862994" w:rsidRDefault="003C47DB" w:rsidP="003C47DB">
      <w:pPr>
        <w:rPr>
          <w:rFonts w:cs="Arial"/>
          <w:b/>
          <w:bCs/>
          <w:u w:color="453CCC"/>
          <w:lang w:val="en-US"/>
        </w:rPr>
      </w:pPr>
      <w:bookmarkStart w:id="0" w:name="_GoBack"/>
      <w:bookmarkEnd w:id="0"/>
      <w:r w:rsidRPr="00862994">
        <w:rPr>
          <w:rFonts w:cs="Arial"/>
          <w:b/>
          <w:bCs/>
          <w:u w:color="453CCC"/>
          <w:lang w:val="en-US"/>
        </w:rPr>
        <w:br w:type="page"/>
      </w:r>
    </w:p>
    <w:p w14:paraId="44E7CB64" w14:textId="77777777" w:rsidR="00EC7477" w:rsidRDefault="00EC7477"/>
    <w:sectPr w:rsidR="00EC7477" w:rsidSect="00EC74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B3D1" w14:textId="77777777" w:rsidR="008661C5" w:rsidRDefault="008661C5" w:rsidP="003C47DB">
      <w:r>
        <w:separator/>
      </w:r>
    </w:p>
  </w:endnote>
  <w:endnote w:type="continuationSeparator" w:id="0">
    <w:p w14:paraId="705156AD" w14:textId="77777777" w:rsidR="008661C5" w:rsidRDefault="008661C5" w:rsidP="003C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B293A" w14:textId="77777777" w:rsidR="008661C5" w:rsidRDefault="008661C5" w:rsidP="003C47DB">
      <w:r>
        <w:separator/>
      </w:r>
    </w:p>
  </w:footnote>
  <w:footnote w:type="continuationSeparator" w:id="0">
    <w:p w14:paraId="00D9E08A" w14:textId="77777777" w:rsidR="008661C5" w:rsidRDefault="008661C5" w:rsidP="003C47DB">
      <w:r>
        <w:continuationSeparator/>
      </w:r>
    </w:p>
  </w:footnote>
  <w:footnote w:id="1">
    <w:p w14:paraId="0DBE3032" w14:textId="77777777" w:rsidR="003C47DB" w:rsidRPr="001F67A4" w:rsidRDefault="003C47DB" w:rsidP="003C47DB">
      <w:pPr>
        <w:pStyle w:val="Textnotdesubsol"/>
        <w:rPr>
          <w:sz w:val="20"/>
          <w:szCs w:val="20"/>
        </w:rPr>
      </w:pPr>
      <w:r w:rsidRPr="001F67A4">
        <w:rPr>
          <w:rStyle w:val="Referinnotdesubsol"/>
          <w:sz w:val="28"/>
          <w:szCs w:val="28"/>
        </w:rPr>
        <w:sym w:font="Symbol" w:char="F02A"/>
      </w:r>
      <w:r w:rsidRPr="001F67A4">
        <w:rPr>
          <w:sz w:val="28"/>
          <w:szCs w:val="28"/>
        </w:rPr>
        <w:t xml:space="preserve"> </w:t>
      </w:r>
      <w:r>
        <w:rPr>
          <w:sz w:val="20"/>
          <w:szCs w:val="20"/>
        </w:rPr>
        <w:t xml:space="preserve">Draft prepared for discussion by Prof. Ignacio Tirado, Universidad Autónoma de Madrid.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699F"/>
    <w:multiLevelType w:val="multilevel"/>
    <w:tmpl w:val="97E6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44348"/>
    <w:multiLevelType w:val="multilevel"/>
    <w:tmpl w:val="B602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1FF2"/>
    <w:multiLevelType w:val="hybridMultilevel"/>
    <w:tmpl w:val="9B220F8A"/>
    <w:lvl w:ilvl="0" w:tplc="978C5F32">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B"/>
    <w:rsid w:val="003C47DB"/>
    <w:rsid w:val="008661C5"/>
    <w:rsid w:val="00B00CE3"/>
    <w:rsid w:val="00DC4BF7"/>
    <w:rsid w:val="00EC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34974"/>
  <w14:defaultImageDpi w14:val="300"/>
  <w15:docId w15:val="{90B3C57C-9804-4C17-AE77-89FD8BE9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DB"/>
    <w:rPr>
      <w:lang w:val="es-ES_tradnl" w:eastAsia="es-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medie3-Accentuare3">
    <w:name w:val="Medium Grid 3 Accent 3"/>
    <w:basedOn w:val="TabelNormal"/>
    <w:uiPriority w:val="69"/>
    <w:rsid w:val="003C47DB"/>
    <w:rPr>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f">
    <w:name w:val="List Paragraph"/>
    <w:basedOn w:val="Normal"/>
    <w:uiPriority w:val="34"/>
    <w:qFormat/>
    <w:rsid w:val="003C47DB"/>
    <w:pPr>
      <w:ind w:left="720"/>
      <w:contextualSpacing/>
    </w:pPr>
  </w:style>
  <w:style w:type="paragraph" w:styleId="Textnotdesubsol">
    <w:name w:val="footnote text"/>
    <w:basedOn w:val="Normal"/>
    <w:link w:val="TextnotdesubsolCaracter"/>
    <w:uiPriority w:val="99"/>
    <w:unhideWhenUsed/>
    <w:rsid w:val="003C47DB"/>
  </w:style>
  <w:style w:type="character" w:customStyle="1" w:styleId="TextnotdesubsolCaracter">
    <w:name w:val="Text notă de subsol Caracter"/>
    <w:basedOn w:val="Fontdeparagrafimplicit"/>
    <w:link w:val="Textnotdesubsol"/>
    <w:uiPriority w:val="99"/>
    <w:rsid w:val="003C47DB"/>
    <w:rPr>
      <w:lang w:val="es-ES_tradnl" w:eastAsia="es-ES"/>
    </w:rPr>
  </w:style>
  <w:style w:type="character" w:styleId="Referinnotdesubsol">
    <w:name w:val="footnote reference"/>
    <w:basedOn w:val="Fontdeparagrafimplicit"/>
    <w:uiPriority w:val="99"/>
    <w:unhideWhenUsed/>
    <w:rsid w:val="003C47DB"/>
    <w:rPr>
      <w:vertAlign w:val="superscript"/>
    </w:rPr>
  </w:style>
  <w:style w:type="paragraph" w:customStyle="1" w:styleId="xmsonormal">
    <w:name w:val="x_msonormal"/>
    <w:basedOn w:val="Normal"/>
    <w:rsid w:val="00B00CE3"/>
    <w:pPr>
      <w:spacing w:before="100" w:beforeAutospacing="1" w:after="100" w:afterAutospacing="1"/>
    </w:pPr>
    <w:rPr>
      <w:rFonts w:ascii="Times New Roman" w:eastAsiaTheme="minorHAnsi"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8980</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Diana Carpen</cp:lastModifiedBy>
  <cp:revision>2</cp:revision>
  <dcterms:created xsi:type="dcterms:W3CDTF">2017-01-10T11:50:00Z</dcterms:created>
  <dcterms:modified xsi:type="dcterms:W3CDTF">2017-01-10T11:50:00Z</dcterms:modified>
</cp:coreProperties>
</file>