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CB3A3" w14:textId="77777777" w:rsidR="00FE3D39" w:rsidRPr="007E7695" w:rsidRDefault="00FE3D39" w:rsidP="00FE3D39">
      <w:pPr>
        <w:shd w:val="clear" w:color="auto" w:fill="FFFFFF"/>
        <w:spacing w:after="0" w:line="240" w:lineRule="auto"/>
        <w:jc w:val="center"/>
        <w:rPr>
          <w:rFonts w:ascii="Arial Narrow" w:hAnsi="Arial Narrow" w:cs="Arial"/>
          <w:b/>
          <w:i/>
          <w:iCs/>
        </w:rPr>
      </w:pPr>
      <w:r w:rsidRPr="007E7695">
        <w:rPr>
          <w:rFonts w:ascii="Arial Narrow" w:hAnsi="Arial Narrow" w:cs="Arial"/>
          <w:b/>
          <w:i/>
          <w:iCs/>
        </w:rPr>
        <w:t>“</w:t>
      </w:r>
      <w:r w:rsidRPr="007E7695">
        <w:rPr>
          <w:rFonts w:ascii="Arial Narrow" w:hAnsi="Arial Narrow" w:cs="Arial"/>
          <w:b/>
          <w:shd w:val="clear" w:color="auto" w:fill="FFFFFF"/>
        </w:rPr>
        <w:t>Asistenţă pentru consolidarea capacităţii instituţionale în domeniul formării judecătorilor şi procurorilor pentru aplicarea noilor coduri</w:t>
      </w:r>
      <w:r w:rsidRPr="007E7695">
        <w:rPr>
          <w:rFonts w:ascii="Arial Narrow" w:hAnsi="Arial Narrow" w:cs="Arial"/>
          <w:b/>
          <w:i/>
          <w:iCs/>
          <w:shd w:val="clear" w:color="auto" w:fill="FFFFFF"/>
        </w:rPr>
        <w:t>”</w:t>
      </w:r>
    </w:p>
    <w:p w14:paraId="299456DC" w14:textId="77777777" w:rsidR="00FE3D39" w:rsidRPr="007E7695" w:rsidRDefault="00FE3D39" w:rsidP="00FE3D39">
      <w:pPr>
        <w:spacing w:after="0" w:line="240" w:lineRule="auto"/>
        <w:jc w:val="center"/>
        <w:rPr>
          <w:rFonts w:ascii="Arial Narrow" w:hAnsi="Arial Narrow" w:cs="Arial"/>
          <w:b/>
          <w:i/>
          <w:iCs/>
          <w:lang w:val="en-GB"/>
        </w:rPr>
      </w:pPr>
      <w:r w:rsidRPr="007E7695">
        <w:rPr>
          <w:rFonts w:ascii="Arial Narrow" w:hAnsi="Arial Narrow" w:cs="Arial"/>
          <w:b/>
          <w:i/>
          <w:iCs/>
          <w:lang w:val="en-GB"/>
        </w:rPr>
        <w:t>“Assistance for strengthening the training capacities for judges and prosecutors in the application of new laws”</w:t>
      </w:r>
    </w:p>
    <w:p w14:paraId="5C1C7E0B" w14:textId="77777777" w:rsidR="00692CFF" w:rsidRDefault="00692CFF" w:rsidP="00FE3D39">
      <w:pPr>
        <w:spacing w:line="240" w:lineRule="auto"/>
        <w:jc w:val="center"/>
        <w:rPr>
          <w:rFonts w:ascii="Arial Narrow" w:hAnsi="Arial Narrow" w:cs="Arial"/>
          <w:b/>
          <w:color w:val="1F3864"/>
          <w:lang w:val="it-IT"/>
        </w:rPr>
      </w:pPr>
    </w:p>
    <w:p w14:paraId="18AB35F5" w14:textId="57E290DB" w:rsidR="00FE3D39" w:rsidRPr="007E7695" w:rsidRDefault="00FE3D39" w:rsidP="00FE3D39">
      <w:pPr>
        <w:spacing w:line="240" w:lineRule="auto"/>
        <w:jc w:val="center"/>
        <w:rPr>
          <w:rFonts w:ascii="Arial Narrow" w:hAnsi="Arial Narrow" w:cs="Arial"/>
          <w:b/>
          <w:color w:val="1F3864"/>
          <w:lang w:val="it-IT"/>
        </w:rPr>
      </w:pPr>
      <w:r w:rsidRPr="007E7695">
        <w:rPr>
          <w:rFonts w:ascii="Arial Narrow" w:hAnsi="Arial Narrow" w:cs="Arial"/>
          <w:b/>
          <w:color w:val="1F3864"/>
          <w:lang w:val="it-IT"/>
        </w:rPr>
        <w:t>AGENDA</w:t>
      </w:r>
    </w:p>
    <w:p w14:paraId="7C8A3F9E" w14:textId="5D2061AE" w:rsidR="002530EE" w:rsidRPr="00EF645B" w:rsidRDefault="007E5642" w:rsidP="00EF645B">
      <w:pPr>
        <w:spacing w:line="240" w:lineRule="auto"/>
        <w:jc w:val="center"/>
        <w:rPr>
          <w:rFonts w:ascii="Arial Narrow" w:hAnsi="Arial Narrow" w:cs="Arial"/>
          <w:b/>
          <w:color w:val="1F3864"/>
          <w:sz w:val="28"/>
          <w:szCs w:val="28"/>
          <w:lang w:val="it-IT"/>
        </w:rPr>
      </w:pPr>
      <w:r w:rsidRPr="00EF645B">
        <w:rPr>
          <w:rFonts w:ascii="Arial Narrow" w:hAnsi="Arial Narrow" w:cs="Arial"/>
          <w:b/>
          <w:color w:val="1F3864"/>
          <w:sz w:val="28"/>
          <w:szCs w:val="28"/>
          <w:lang w:val="it-IT"/>
        </w:rPr>
        <w:t>Executare silită</w:t>
      </w:r>
      <w:r w:rsidR="00EF645B" w:rsidRPr="00EF645B">
        <w:rPr>
          <w:rFonts w:ascii="Arial Narrow" w:hAnsi="Arial Narrow" w:cs="Arial"/>
          <w:b/>
          <w:color w:val="1F3864"/>
          <w:sz w:val="28"/>
          <w:szCs w:val="28"/>
          <w:lang w:val="it-IT"/>
        </w:rPr>
        <w:t xml:space="preserve">, </w:t>
      </w:r>
      <w:r w:rsidR="002530EE" w:rsidRPr="00EF645B">
        <w:rPr>
          <w:rFonts w:ascii="Arial Narrow" w:hAnsi="Arial Narrow" w:cs="Arial"/>
          <w:b/>
          <w:color w:val="1F3864"/>
          <w:sz w:val="28"/>
          <w:szCs w:val="28"/>
          <w:lang w:val="it-IT"/>
        </w:rPr>
        <w:t>26-27 octombrie 2017, Hotel Internațional</w:t>
      </w:r>
    </w:p>
    <w:p w14:paraId="1EBEA13C" w14:textId="69BA1431" w:rsidR="00FE3D39" w:rsidRPr="00692CFF" w:rsidRDefault="00F51269" w:rsidP="00EF645B">
      <w:pPr>
        <w:rPr>
          <w:rFonts w:ascii="Arial Narrow" w:hAnsi="Arial Narrow" w:cs="Arial"/>
          <w:b/>
          <w:color w:val="1F3864"/>
          <w:sz w:val="24"/>
          <w:szCs w:val="24"/>
          <w:u w:val="single"/>
          <w:lang w:val="it-IT"/>
        </w:rPr>
      </w:pPr>
      <w:r>
        <w:rPr>
          <w:rFonts w:ascii="Arial Narrow" w:hAnsi="Arial Narrow" w:cs="Arial"/>
          <w:b/>
          <w:color w:val="1F3864"/>
          <w:sz w:val="24"/>
          <w:szCs w:val="24"/>
          <w:u w:val="single"/>
          <w:lang w:val="it-IT"/>
        </w:rPr>
        <w:t xml:space="preserve">Joi, </w:t>
      </w:r>
      <w:r w:rsidR="00EF645B" w:rsidRPr="00692CFF">
        <w:rPr>
          <w:rFonts w:ascii="Arial Narrow" w:hAnsi="Arial Narrow" w:cs="Arial"/>
          <w:b/>
          <w:color w:val="1F3864"/>
          <w:sz w:val="24"/>
          <w:szCs w:val="24"/>
          <w:u w:val="single"/>
          <w:lang w:val="it-IT"/>
        </w:rPr>
        <w:t>26 octombrie 2017</w:t>
      </w:r>
    </w:p>
    <w:p w14:paraId="2E897727" w14:textId="77777777" w:rsidR="004D4BC0" w:rsidRPr="00EF645B" w:rsidRDefault="00FE3D39" w:rsidP="00FE3D39">
      <w:pPr>
        <w:rPr>
          <w:rFonts w:ascii="Arial Narrow" w:hAnsi="Arial Narrow" w:cs="Arial"/>
          <w:b/>
          <w:color w:val="1F3864"/>
          <w:sz w:val="24"/>
          <w:szCs w:val="24"/>
          <w:lang w:val="it-IT"/>
        </w:rPr>
      </w:pPr>
      <w:r w:rsidRPr="00EF645B">
        <w:rPr>
          <w:rFonts w:ascii="Arial Narrow" w:hAnsi="Arial Narrow" w:cs="Arial"/>
          <w:b/>
          <w:color w:val="1F3864"/>
          <w:sz w:val="24"/>
          <w:szCs w:val="24"/>
          <w:lang w:val="it-IT"/>
        </w:rPr>
        <w:t xml:space="preserve">Experți: </w:t>
      </w:r>
    </w:p>
    <w:p w14:paraId="0F5BFF9E" w14:textId="77777777" w:rsidR="009C46A5" w:rsidRPr="00EF645B" w:rsidRDefault="009C46A5" w:rsidP="009C46A5">
      <w:pPr>
        <w:spacing w:after="0" w:line="240" w:lineRule="auto"/>
        <w:rPr>
          <w:rFonts w:ascii="Arial Narrow" w:hAnsi="Arial Narrow" w:cs="Arial"/>
          <w:b/>
          <w:color w:val="1F3864"/>
          <w:sz w:val="24"/>
          <w:szCs w:val="24"/>
          <w:lang w:val="it-IT"/>
        </w:rPr>
      </w:pPr>
      <w:r w:rsidRPr="00EF645B">
        <w:rPr>
          <w:rFonts w:ascii="Arial Narrow" w:hAnsi="Arial Narrow" w:cs="Arial"/>
          <w:b/>
          <w:color w:val="1F3864"/>
          <w:sz w:val="24"/>
          <w:szCs w:val="24"/>
          <w:lang w:val="it-IT"/>
        </w:rPr>
        <w:t>Bogdan DUMITRACHE, executor judecatoresc</w:t>
      </w:r>
    </w:p>
    <w:p w14:paraId="576A0FF0" w14:textId="77777777" w:rsidR="009C46A5" w:rsidRPr="00EF645B" w:rsidRDefault="009C46A5" w:rsidP="009C46A5">
      <w:pPr>
        <w:spacing w:after="0" w:line="240" w:lineRule="auto"/>
        <w:rPr>
          <w:rFonts w:ascii="Arial Narrow" w:hAnsi="Arial Narrow" w:cs="Arial"/>
          <w:b/>
          <w:color w:val="1F3864"/>
          <w:sz w:val="24"/>
          <w:szCs w:val="24"/>
          <w:lang w:val="it-IT"/>
        </w:rPr>
      </w:pPr>
      <w:r w:rsidRPr="00EF645B">
        <w:rPr>
          <w:rFonts w:ascii="Arial Narrow" w:hAnsi="Arial Narrow" w:cs="Arial"/>
          <w:b/>
          <w:color w:val="1F3864"/>
          <w:sz w:val="24"/>
          <w:szCs w:val="24"/>
          <w:lang w:val="it-IT"/>
        </w:rPr>
        <w:t>Roxana STANCIU, judecator Tribunalul Bucuresti,</w:t>
      </w:r>
    </w:p>
    <w:p w14:paraId="22E4BF9F" w14:textId="2C615B84" w:rsidR="009C46A5" w:rsidRPr="00EF645B" w:rsidRDefault="009C46A5" w:rsidP="009C46A5">
      <w:pPr>
        <w:spacing w:after="0" w:line="240" w:lineRule="auto"/>
        <w:rPr>
          <w:rFonts w:ascii="Arial Narrow" w:hAnsi="Arial Narrow" w:cs="Arial"/>
          <w:b/>
          <w:color w:val="1F3864"/>
          <w:sz w:val="24"/>
          <w:szCs w:val="24"/>
          <w:lang w:val="it-IT"/>
        </w:rPr>
      </w:pPr>
      <w:r w:rsidRPr="00EF645B">
        <w:rPr>
          <w:rFonts w:ascii="Arial Narrow" w:hAnsi="Arial Narrow" w:cs="Arial"/>
          <w:b/>
          <w:color w:val="1F3864"/>
          <w:sz w:val="24"/>
          <w:szCs w:val="24"/>
          <w:lang w:val="it-IT"/>
        </w:rPr>
        <w:t xml:space="preserve">Nicolae Horia </w:t>
      </w:r>
      <w:r w:rsidR="00EF645B" w:rsidRPr="00EF645B">
        <w:rPr>
          <w:rFonts w:ascii="Arial Narrow" w:hAnsi="Arial Narrow" w:cs="Arial"/>
          <w:b/>
          <w:color w:val="1F3864"/>
          <w:sz w:val="24"/>
          <w:szCs w:val="24"/>
          <w:lang w:val="it-IT"/>
        </w:rPr>
        <w:t>ŢIŢ</w:t>
      </w:r>
      <w:r w:rsidRPr="00EF645B">
        <w:rPr>
          <w:rFonts w:ascii="Arial Narrow" w:hAnsi="Arial Narrow" w:cs="Arial"/>
          <w:b/>
          <w:color w:val="1F3864"/>
          <w:sz w:val="24"/>
          <w:szCs w:val="24"/>
          <w:lang w:val="it-IT"/>
        </w:rPr>
        <w:t>, lector universitar Facultatea de Drept - Universitatea Alexandru Ioan Cuza din Iasi</w:t>
      </w:r>
    </w:p>
    <w:p w14:paraId="2FEA1F51" w14:textId="77777777" w:rsidR="009C46A5" w:rsidRPr="00EF645B" w:rsidRDefault="009C46A5" w:rsidP="009C46A5">
      <w:pPr>
        <w:spacing w:after="0" w:line="240" w:lineRule="auto"/>
        <w:rPr>
          <w:rFonts w:ascii="Arial Narrow" w:hAnsi="Arial Narrow" w:cs="Arial"/>
          <w:color w:val="1F3864"/>
          <w:sz w:val="24"/>
          <w:szCs w:val="24"/>
          <w:lang w:val="it-IT"/>
        </w:rPr>
      </w:pPr>
    </w:p>
    <w:p w14:paraId="752E89E1" w14:textId="77777777" w:rsidR="00FE3833" w:rsidRPr="007E7695" w:rsidRDefault="00FE3833" w:rsidP="00FE3833">
      <w:pPr>
        <w:spacing w:after="0" w:line="240" w:lineRule="auto"/>
        <w:rPr>
          <w:rFonts w:ascii="Arial Narrow" w:hAnsi="Arial Narrow"/>
          <w:b/>
          <w:bCs/>
          <w:lang w:val="it-IT"/>
        </w:rPr>
      </w:pPr>
    </w:p>
    <w:tbl>
      <w:tblPr>
        <w:tblW w:w="0" w:type="auto"/>
        <w:tblBorders>
          <w:top w:val="single" w:sz="8" w:space="0" w:color="4F81BD"/>
          <w:bottom w:val="single" w:sz="8" w:space="0" w:color="4F81BD"/>
        </w:tblBorders>
        <w:tblLook w:val="04A0" w:firstRow="1" w:lastRow="0" w:firstColumn="1" w:lastColumn="0" w:noHBand="0" w:noVBand="1"/>
      </w:tblPr>
      <w:tblGrid>
        <w:gridCol w:w="1795"/>
        <w:gridCol w:w="7231"/>
      </w:tblGrid>
      <w:tr w:rsidR="00FE3833" w:rsidRPr="007E7695" w14:paraId="449FD260" w14:textId="77777777" w:rsidTr="00C974EE">
        <w:tc>
          <w:tcPr>
            <w:tcW w:w="1795" w:type="dxa"/>
            <w:tcBorders>
              <w:top w:val="single" w:sz="8" w:space="0" w:color="4F81BD"/>
              <w:left w:val="nil"/>
              <w:bottom w:val="single" w:sz="8" w:space="0" w:color="4F81BD"/>
              <w:right w:val="nil"/>
            </w:tcBorders>
            <w:shd w:val="clear" w:color="auto" w:fill="auto"/>
          </w:tcPr>
          <w:p w14:paraId="156C8017" w14:textId="77777777" w:rsidR="00FE3833" w:rsidRPr="007E7695" w:rsidRDefault="00FE3833" w:rsidP="00C974EE">
            <w:pPr>
              <w:rPr>
                <w:rFonts w:ascii="Arial Narrow" w:hAnsi="Arial Narrow" w:cs="Arial"/>
                <w:i/>
                <w:color w:val="1F3864"/>
              </w:rPr>
            </w:pPr>
            <w:r w:rsidRPr="007E7695">
              <w:rPr>
                <w:rFonts w:ascii="Arial Narrow" w:hAnsi="Arial Narrow" w:cs="Arial"/>
                <w:i/>
                <w:color w:val="1F3864"/>
              </w:rPr>
              <w:t>09.00-09.30</w:t>
            </w:r>
          </w:p>
        </w:tc>
        <w:tc>
          <w:tcPr>
            <w:tcW w:w="7231" w:type="dxa"/>
            <w:tcBorders>
              <w:top w:val="single" w:sz="8" w:space="0" w:color="4F81BD"/>
              <w:left w:val="nil"/>
              <w:bottom w:val="single" w:sz="8" w:space="0" w:color="4F81BD"/>
              <w:right w:val="nil"/>
            </w:tcBorders>
            <w:shd w:val="clear" w:color="auto" w:fill="auto"/>
          </w:tcPr>
          <w:p w14:paraId="7E7AB5DD" w14:textId="77777777" w:rsidR="00FE3833" w:rsidRPr="007E7695" w:rsidRDefault="00FE3833" w:rsidP="00C974EE">
            <w:pPr>
              <w:rPr>
                <w:rFonts w:ascii="Arial Narrow" w:hAnsi="Arial Narrow" w:cs="Arial"/>
                <w:color w:val="1F3864"/>
              </w:rPr>
            </w:pPr>
            <w:r w:rsidRPr="007E7695">
              <w:rPr>
                <w:rFonts w:ascii="Arial Narrow" w:hAnsi="Arial Narrow"/>
                <w:b/>
                <w:bCs/>
                <w:color w:val="365F91"/>
              </w:rPr>
              <w:t>Înregistrarea participanţilor</w:t>
            </w:r>
          </w:p>
        </w:tc>
      </w:tr>
      <w:tr w:rsidR="00FE3833" w:rsidRPr="007E7695" w14:paraId="738BEB19" w14:textId="77777777" w:rsidTr="00C974EE">
        <w:tc>
          <w:tcPr>
            <w:tcW w:w="1795" w:type="dxa"/>
            <w:tcBorders>
              <w:left w:val="nil"/>
              <w:right w:val="nil"/>
            </w:tcBorders>
            <w:shd w:val="clear" w:color="auto" w:fill="D3DFEE"/>
          </w:tcPr>
          <w:p w14:paraId="425686B7" w14:textId="77777777" w:rsidR="00FE3833" w:rsidRPr="007E7695" w:rsidRDefault="00FE3833" w:rsidP="00C974EE">
            <w:pPr>
              <w:rPr>
                <w:rFonts w:ascii="Arial Narrow" w:hAnsi="Arial Narrow" w:cs="Arial"/>
                <w:i/>
                <w:color w:val="1F3864"/>
              </w:rPr>
            </w:pPr>
            <w:r w:rsidRPr="007E7695">
              <w:rPr>
                <w:rFonts w:ascii="Arial Narrow" w:hAnsi="Arial Narrow" w:cs="Arial"/>
                <w:i/>
                <w:color w:val="1F3864"/>
              </w:rPr>
              <w:t>09.30-10.30</w:t>
            </w:r>
          </w:p>
        </w:tc>
        <w:tc>
          <w:tcPr>
            <w:tcW w:w="7231" w:type="dxa"/>
            <w:tcBorders>
              <w:left w:val="nil"/>
              <w:right w:val="nil"/>
            </w:tcBorders>
            <w:shd w:val="clear" w:color="auto" w:fill="D3DFEE"/>
          </w:tcPr>
          <w:p w14:paraId="07AB88D5" w14:textId="77777777" w:rsidR="005C3854" w:rsidRPr="007E7695" w:rsidRDefault="005C3854" w:rsidP="005C3854">
            <w:pPr>
              <w:numPr>
                <w:ilvl w:val="0"/>
                <w:numId w:val="8"/>
              </w:numPr>
              <w:spacing w:after="0"/>
              <w:contextualSpacing/>
              <w:rPr>
                <w:rFonts w:ascii="Arial Narrow" w:hAnsi="Arial Narrow"/>
                <w:b/>
                <w:color w:val="365F91"/>
              </w:rPr>
            </w:pPr>
            <w:r>
              <w:rPr>
                <w:rFonts w:ascii="Arial Narrow" w:hAnsi="Arial Narrow"/>
                <w:b/>
                <w:color w:val="365F91"/>
              </w:rPr>
              <w:t xml:space="preserve">Suspendarea executării silite </w:t>
            </w:r>
          </w:p>
          <w:p w14:paraId="62C26D8E" w14:textId="77777777" w:rsidR="00FE3833" w:rsidRPr="00CF6E54" w:rsidRDefault="00FE3833" w:rsidP="00C974EE">
            <w:pPr>
              <w:numPr>
                <w:ilvl w:val="0"/>
                <w:numId w:val="8"/>
              </w:numPr>
              <w:spacing w:after="0"/>
              <w:rPr>
                <w:rFonts w:ascii="Arial Narrow" w:hAnsi="Arial Narrow" w:cs="Arial"/>
                <w:color w:val="1F3864"/>
              </w:rPr>
            </w:pPr>
            <w:r w:rsidRPr="007E7695">
              <w:rPr>
                <w:rFonts w:ascii="Arial Narrow" w:hAnsi="Arial Narrow"/>
                <w:color w:val="365F91"/>
              </w:rPr>
              <w:t>Sesiune de întrebări şi răspunsuri</w:t>
            </w:r>
          </w:p>
          <w:p w14:paraId="57F1D52C" w14:textId="77777777" w:rsidR="00FE3833" w:rsidRPr="007E7695" w:rsidRDefault="00FE3833" w:rsidP="00C974EE">
            <w:pPr>
              <w:spacing w:after="0"/>
              <w:ind w:left="720"/>
              <w:rPr>
                <w:rFonts w:ascii="Arial Narrow" w:hAnsi="Arial Narrow" w:cs="Arial"/>
                <w:color w:val="1F3864"/>
              </w:rPr>
            </w:pPr>
          </w:p>
        </w:tc>
      </w:tr>
      <w:tr w:rsidR="00FE3833" w:rsidRPr="007E7695" w14:paraId="29217329" w14:textId="77777777" w:rsidTr="00C974EE">
        <w:tc>
          <w:tcPr>
            <w:tcW w:w="1795" w:type="dxa"/>
            <w:shd w:val="clear" w:color="auto" w:fill="auto"/>
          </w:tcPr>
          <w:p w14:paraId="59C7106C" w14:textId="77777777" w:rsidR="00FE3833" w:rsidRPr="007E7695" w:rsidRDefault="00FE3833" w:rsidP="00C974EE">
            <w:pPr>
              <w:rPr>
                <w:rFonts w:ascii="Arial Narrow" w:hAnsi="Arial Narrow" w:cs="Arial"/>
                <w:i/>
                <w:color w:val="1F3864"/>
              </w:rPr>
            </w:pPr>
            <w:r w:rsidRPr="007E7695">
              <w:rPr>
                <w:rFonts w:ascii="Arial Narrow" w:hAnsi="Arial Narrow" w:cs="Arial"/>
                <w:i/>
                <w:color w:val="1F3864"/>
              </w:rPr>
              <w:t xml:space="preserve">10.30-11.00 </w:t>
            </w:r>
          </w:p>
        </w:tc>
        <w:tc>
          <w:tcPr>
            <w:tcW w:w="7231" w:type="dxa"/>
            <w:shd w:val="clear" w:color="auto" w:fill="auto"/>
          </w:tcPr>
          <w:p w14:paraId="44CDE044" w14:textId="77777777" w:rsidR="00FE3833" w:rsidRPr="007E7695" w:rsidRDefault="00FE3833" w:rsidP="00C974EE">
            <w:pPr>
              <w:rPr>
                <w:rFonts w:ascii="Arial Narrow" w:hAnsi="Arial Narrow" w:cs="Arial"/>
                <w:color w:val="1F3864"/>
              </w:rPr>
            </w:pPr>
            <w:r w:rsidRPr="007E7695">
              <w:rPr>
                <w:rFonts w:ascii="Arial Narrow" w:hAnsi="Arial Narrow" w:cs="Arial"/>
                <w:color w:val="1F3864"/>
              </w:rPr>
              <w:t xml:space="preserve">Pauză de cafea </w:t>
            </w:r>
          </w:p>
        </w:tc>
      </w:tr>
      <w:tr w:rsidR="00FE3833" w:rsidRPr="007E7695" w14:paraId="3A65D641" w14:textId="77777777" w:rsidTr="00C974EE">
        <w:tc>
          <w:tcPr>
            <w:tcW w:w="1795" w:type="dxa"/>
            <w:tcBorders>
              <w:left w:val="nil"/>
              <w:right w:val="nil"/>
            </w:tcBorders>
            <w:shd w:val="clear" w:color="auto" w:fill="D3DFEE"/>
          </w:tcPr>
          <w:p w14:paraId="034BB94D" w14:textId="77777777" w:rsidR="00FE3833" w:rsidRPr="007E7695" w:rsidRDefault="00FE3833" w:rsidP="00C974EE">
            <w:pPr>
              <w:rPr>
                <w:rFonts w:ascii="Arial Narrow" w:hAnsi="Arial Narrow" w:cs="Arial"/>
                <w:i/>
                <w:color w:val="1F3864"/>
              </w:rPr>
            </w:pPr>
            <w:r w:rsidRPr="007E7695">
              <w:rPr>
                <w:rFonts w:ascii="Arial Narrow" w:hAnsi="Arial Narrow" w:cs="Arial"/>
                <w:i/>
                <w:color w:val="1F3864"/>
              </w:rPr>
              <w:t>11.00-12.30</w:t>
            </w:r>
          </w:p>
        </w:tc>
        <w:tc>
          <w:tcPr>
            <w:tcW w:w="7231" w:type="dxa"/>
            <w:tcBorders>
              <w:left w:val="nil"/>
              <w:right w:val="nil"/>
            </w:tcBorders>
            <w:shd w:val="clear" w:color="auto" w:fill="D3DFEE"/>
          </w:tcPr>
          <w:p w14:paraId="4EA1F1BF" w14:textId="77777777" w:rsidR="005A6900" w:rsidRPr="007E7695" w:rsidRDefault="005A6900" w:rsidP="005A6900">
            <w:pPr>
              <w:numPr>
                <w:ilvl w:val="0"/>
                <w:numId w:val="8"/>
              </w:numPr>
              <w:spacing w:after="0"/>
              <w:rPr>
                <w:rFonts w:ascii="Arial Narrow" w:hAnsi="Arial Narrow"/>
                <w:b/>
                <w:color w:val="365F91"/>
              </w:rPr>
            </w:pPr>
            <w:r w:rsidRPr="007E7695">
              <w:rPr>
                <w:rFonts w:ascii="Arial Narrow" w:hAnsi="Arial Narrow"/>
                <w:b/>
                <w:color w:val="365F91"/>
              </w:rPr>
              <w:t>Intervenția în executarea silită</w:t>
            </w:r>
          </w:p>
          <w:p w14:paraId="5DD664E2" w14:textId="77777777" w:rsidR="00FE3833" w:rsidRPr="005A6900" w:rsidRDefault="00FE3833" w:rsidP="005A6900">
            <w:pPr>
              <w:numPr>
                <w:ilvl w:val="0"/>
                <w:numId w:val="8"/>
              </w:numPr>
              <w:spacing w:after="0"/>
              <w:rPr>
                <w:rFonts w:ascii="Arial Narrow" w:hAnsi="Arial Narrow" w:cs="Arial"/>
                <w:color w:val="1F3864"/>
              </w:rPr>
            </w:pPr>
            <w:r w:rsidRPr="007E7695">
              <w:rPr>
                <w:rFonts w:ascii="Arial Narrow" w:hAnsi="Arial Narrow"/>
                <w:color w:val="365F91"/>
              </w:rPr>
              <w:t>Sesiune de întrebări şi răspunsuri</w:t>
            </w:r>
          </w:p>
          <w:p w14:paraId="3F9B0D9B" w14:textId="27CC25E4" w:rsidR="005A6900" w:rsidRPr="007E7695" w:rsidRDefault="005A6900" w:rsidP="005A6900">
            <w:pPr>
              <w:spacing w:after="0"/>
              <w:ind w:left="720"/>
              <w:rPr>
                <w:rFonts w:ascii="Arial Narrow" w:hAnsi="Arial Narrow" w:cs="Arial"/>
                <w:color w:val="1F3864"/>
              </w:rPr>
            </w:pPr>
          </w:p>
        </w:tc>
      </w:tr>
      <w:tr w:rsidR="00FE3833" w:rsidRPr="007E7695" w14:paraId="689D32FF" w14:textId="77777777" w:rsidTr="00C974EE">
        <w:tc>
          <w:tcPr>
            <w:tcW w:w="1795" w:type="dxa"/>
            <w:shd w:val="clear" w:color="auto" w:fill="auto"/>
          </w:tcPr>
          <w:p w14:paraId="6FD93CCC" w14:textId="77777777" w:rsidR="00FE3833" w:rsidRPr="007E7695" w:rsidRDefault="00FE3833" w:rsidP="00C974EE">
            <w:pPr>
              <w:rPr>
                <w:rFonts w:ascii="Arial Narrow" w:hAnsi="Arial Narrow" w:cs="Arial"/>
                <w:i/>
                <w:color w:val="1F3864"/>
              </w:rPr>
            </w:pPr>
            <w:r w:rsidRPr="007E7695">
              <w:rPr>
                <w:rFonts w:ascii="Arial Narrow" w:hAnsi="Arial Narrow" w:cs="Arial"/>
                <w:i/>
                <w:color w:val="1F3864"/>
              </w:rPr>
              <w:t>12.30-13.30</w:t>
            </w:r>
          </w:p>
        </w:tc>
        <w:tc>
          <w:tcPr>
            <w:tcW w:w="7231" w:type="dxa"/>
            <w:shd w:val="clear" w:color="auto" w:fill="auto"/>
          </w:tcPr>
          <w:p w14:paraId="7BFE5F5B" w14:textId="77777777" w:rsidR="00FE3833" w:rsidRPr="007E7695" w:rsidRDefault="00FE3833" w:rsidP="00C974EE">
            <w:pPr>
              <w:rPr>
                <w:rFonts w:ascii="Arial Narrow" w:hAnsi="Arial Narrow" w:cs="Arial"/>
                <w:color w:val="1F3864"/>
              </w:rPr>
            </w:pPr>
            <w:r w:rsidRPr="007E7695">
              <w:rPr>
                <w:rFonts w:ascii="Arial Narrow" w:hAnsi="Arial Narrow" w:cs="Arial"/>
                <w:color w:val="1F3864"/>
              </w:rPr>
              <w:t>Prânz</w:t>
            </w:r>
          </w:p>
        </w:tc>
      </w:tr>
      <w:tr w:rsidR="00FE3833" w:rsidRPr="007E7695" w14:paraId="3E04DAA5" w14:textId="77777777" w:rsidTr="00C974EE">
        <w:tc>
          <w:tcPr>
            <w:tcW w:w="1795" w:type="dxa"/>
            <w:tcBorders>
              <w:left w:val="nil"/>
              <w:right w:val="nil"/>
            </w:tcBorders>
            <w:shd w:val="clear" w:color="auto" w:fill="D3DFEE"/>
          </w:tcPr>
          <w:p w14:paraId="71BA5419" w14:textId="77777777" w:rsidR="00FE3833" w:rsidRPr="007E7695" w:rsidRDefault="00FE3833" w:rsidP="00C974EE">
            <w:pPr>
              <w:rPr>
                <w:rFonts w:ascii="Arial Narrow" w:hAnsi="Arial Narrow" w:cs="Arial"/>
                <w:i/>
                <w:color w:val="1F3864"/>
              </w:rPr>
            </w:pPr>
            <w:r w:rsidRPr="007E7695">
              <w:rPr>
                <w:rFonts w:ascii="Arial Narrow" w:hAnsi="Arial Narrow" w:cs="Arial"/>
                <w:i/>
                <w:color w:val="1F3864"/>
              </w:rPr>
              <w:t>13.30-15.00</w:t>
            </w:r>
          </w:p>
        </w:tc>
        <w:tc>
          <w:tcPr>
            <w:tcW w:w="7231" w:type="dxa"/>
            <w:tcBorders>
              <w:left w:val="nil"/>
              <w:right w:val="nil"/>
            </w:tcBorders>
            <w:shd w:val="clear" w:color="auto" w:fill="D3DFEE"/>
          </w:tcPr>
          <w:p w14:paraId="009446FF" w14:textId="77777777" w:rsidR="005A6900" w:rsidRPr="007E7695" w:rsidRDefault="005A6900" w:rsidP="005A6900">
            <w:pPr>
              <w:numPr>
                <w:ilvl w:val="0"/>
                <w:numId w:val="8"/>
              </w:numPr>
              <w:spacing w:after="0"/>
              <w:contextualSpacing/>
              <w:rPr>
                <w:rFonts w:ascii="Arial Narrow" w:hAnsi="Arial Narrow"/>
                <w:color w:val="365F91"/>
              </w:rPr>
            </w:pPr>
            <w:r w:rsidRPr="007E7695">
              <w:rPr>
                <w:rFonts w:ascii="Arial Narrow" w:hAnsi="Arial Narrow"/>
                <w:b/>
                <w:color w:val="365F91"/>
              </w:rPr>
              <w:t>Validarea popririi</w:t>
            </w:r>
          </w:p>
          <w:p w14:paraId="734FFF44" w14:textId="378FC526" w:rsidR="00FE3833" w:rsidRPr="00CF6E54" w:rsidRDefault="00FE3833" w:rsidP="00C974EE">
            <w:pPr>
              <w:numPr>
                <w:ilvl w:val="0"/>
                <w:numId w:val="8"/>
              </w:numPr>
              <w:spacing w:after="0"/>
              <w:contextualSpacing/>
              <w:rPr>
                <w:rFonts w:ascii="Arial Narrow" w:hAnsi="Arial Narrow" w:cs="Arial"/>
                <w:color w:val="1F3864"/>
              </w:rPr>
            </w:pPr>
            <w:r w:rsidRPr="007E7695">
              <w:rPr>
                <w:rFonts w:ascii="Arial Narrow" w:hAnsi="Arial Narrow"/>
                <w:color w:val="365F91"/>
              </w:rPr>
              <w:t>Sesiune de întrebări şi răspunsuri</w:t>
            </w:r>
          </w:p>
          <w:p w14:paraId="5F00D554" w14:textId="77777777" w:rsidR="00FE3833" w:rsidRPr="007E7695" w:rsidRDefault="00FE3833" w:rsidP="00C974EE">
            <w:pPr>
              <w:spacing w:after="0"/>
              <w:ind w:left="720"/>
              <w:contextualSpacing/>
              <w:rPr>
                <w:rFonts w:ascii="Arial Narrow" w:hAnsi="Arial Narrow" w:cs="Arial"/>
                <w:color w:val="1F3864"/>
              </w:rPr>
            </w:pPr>
          </w:p>
        </w:tc>
      </w:tr>
      <w:tr w:rsidR="00FE3833" w:rsidRPr="007E7695" w14:paraId="3ACC4385" w14:textId="77777777" w:rsidTr="00C974EE">
        <w:tc>
          <w:tcPr>
            <w:tcW w:w="1795" w:type="dxa"/>
            <w:shd w:val="clear" w:color="auto" w:fill="auto"/>
          </w:tcPr>
          <w:p w14:paraId="5B44D1B1" w14:textId="77777777" w:rsidR="00FE3833" w:rsidRPr="007E7695" w:rsidRDefault="00FE3833" w:rsidP="00C974EE">
            <w:pPr>
              <w:rPr>
                <w:rFonts w:ascii="Arial Narrow" w:hAnsi="Arial Narrow" w:cs="Arial"/>
                <w:i/>
                <w:color w:val="1F3864"/>
              </w:rPr>
            </w:pPr>
            <w:r w:rsidRPr="007E7695">
              <w:rPr>
                <w:rFonts w:ascii="Arial Narrow" w:hAnsi="Arial Narrow" w:cs="Arial"/>
                <w:i/>
                <w:color w:val="1F3864"/>
              </w:rPr>
              <w:t>15.00-15.30</w:t>
            </w:r>
          </w:p>
        </w:tc>
        <w:tc>
          <w:tcPr>
            <w:tcW w:w="7231" w:type="dxa"/>
            <w:shd w:val="clear" w:color="auto" w:fill="auto"/>
          </w:tcPr>
          <w:p w14:paraId="7A2D66C3" w14:textId="77777777" w:rsidR="00FE3833" w:rsidRPr="007E7695" w:rsidRDefault="00FE3833" w:rsidP="00C974EE">
            <w:pPr>
              <w:rPr>
                <w:rFonts w:ascii="Arial Narrow" w:hAnsi="Arial Narrow" w:cs="Arial"/>
                <w:color w:val="1F3864"/>
              </w:rPr>
            </w:pPr>
            <w:r w:rsidRPr="007E7695">
              <w:rPr>
                <w:rFonts w:ascii="Arial Narrow" w:hAnsi="Arial Narrow" w:cs="Arial"/>
                <w:color w:val="1F3864"/>
              </w:rPr>
              <w:t>Pauză de cafea</w:t>
            </w:r>
          </w:p>
        </w:tc>
      </w:tr>
      <w:tr w:rsidR="00FE3833" w:rsidRPr="007E7695" w14:paraId="1A598597" w14:textId="77777777" w:rsidTr="00C974EE">
        <w:tc>
          <w:tcPr>
            <w:tcW w:w="1795" w:type="dxa"/>
            <w:tcBorders>
              <w:left w:val="nil"/>
              <w:right w:val="nil"/>
            </w:tcBorders>
            <w:shd w:val="clear" w:color="auto" w:fill="D3DFEE"/>
          </w:tcPr>
          <w:p w14:paraId="494728BF" w14:textId="77777777" w:rsidR="00FE3833" w:rsidRPr="007E7695" w:rsidRDefault="00FE3833" w:rsidP="00C974EE">
            <w:pPr>
              <w:rPr>
                <w:rFonts w:ascii="Arial Narrow" w:hAnsi="Arial Narrow" w:cs="Arial"/>
                <w:i/>
                <w:color w:val="1F3864"/>
              </w:rPr>
            </w:pPr>
            <w:r w:rsidRPr="007E7695">
              <w:rPr>
                <w:rFonts w:ascii="Arial Narrow" w:hAnsi="Arial Narrow" w:cs="Arial"/>
                <w:i/>
                <w:color w:val="1F3864"/>
              </w:rPr>
              <w:t>15.30-16.30</w:t>
            </w:r>
          </w:p>
        </w:tc>
        <w:tc>
          <w:tcPr>
            <w:tcW w:w="7231" w:type="dxa"/>
            <w:tcBorders>
              <w:left w:val="nil"/>
              <w:right w:val="nil"/>
            </w:tcBorders>
            <w:shd w:val="clear" w:color="auto" w:fill="D3DFEE"/>
          </w:tcPr>
          <w:p w14:paraId="7D366529" w14:textId="77777777" w:rsidR="005A6900" w:rsidRPr="00310E9D" w:rsidRDefault="005A6900" w:rsidP="005A6900">
            <w:pPr>
              <w:numPr>
                <w:ilvl w:val="0"/>
                <w:numId w:val="8"/>
              </w:numPr>
              <w:spacing w:after="0"/>
              <w:contextualSpacing/>
              <w:rPr>
                <w:rFonts w:ascii="Arial Narrow" w:hAnsi="Arial Narrow" w:cs="Arial"/>
                <w:color w:val="1F3864"/>
              </w:rPr>
            </w:pPr>
            <w:r w:rsidRPr="007E7695">
              <w:rPr>
                <w:rFonts w:ascii="Arial Narrow" w:hAnsi="Arial Narrow"/>
                <w:b/>
                <w:color w:val="365F91"/>
              </w:rPr>
              <w:t>Probleme privind cauţiunea judiciară</w:t>
            </w:r>
            <w:r w:rsidRPr="007E7695">
              <w:rPr>
                <w:rFonts w:ascii="Arial Narrow" w:hAnsi="Arial Narrow"/>
                <w:color w:val="365F91"/>
              </w:rPr>
              <w:t xml:space="preserve"> </w:t>
            </w:r>
          </w:p>
          <w:p w14:paraId="0AB97D4A" w14:textId="77777777" w:rsidR="00FE3833" w:rsidRPr="00CF6E54" w:rsidRDefault="00FE3833" w:rsidP="00C974EE">
            <w:pPr>
              <w:numPr>
                <w:ilvl w:val="0"/>
                <w:numId w:val="8"/>
              </w:numPr>
              <w:spacing w:after="0"/>
              <w:contextualSpacing/>
              <w:rPr>
                <w:rFonts w:ascii="Arial Narrow" w:hAnsi="Arial Narrow" w:cs="Arial"/>
                <w:color w:val="1F3864"/>
              </w:rPr>
            </w:pPr>
            <w:r w:rsidRPr="007E7695">
              <w:rPr>
                <w:rFonts w:ascii="Arial Narrow" w:hAnsi="Arial Narrow"/>
                <w:color w:val="365F91"/>
              </w:rPr>
              <w:t>Sesiune de întrebări şi răspunsuri</w:t>
            </w:r>
          </w:p>
          <w:p w14:paraId="09083157" w14:textId="77777777" w:rsidR="00FE3833" w:rsidRPr="007E7695" w:rsidRDefault="00FE3833" w:rsidP="00C974EE">
            <w:pPr>
              <w:spacing w:after="0"/>
              <w:ind w:left="720"/>
              <w:contextualSpacing/>
              <w:rPr>
                <w:rFonts w:ascii="Arial Narrow" w:hAnsi="Arial Narrow" w:cs="Arial"/>
                <w:color w:val="1F3864"/>
              </w:rPr>
            </w:pPr>
          </w:p>
        </w:tc>
      </w:tr>
    </w:tbl>
    <w:p w14:paraId="55C05396" w14:textId="77777777" w:rsidR="00FE3D39" w:rsidRPr="00EF645B" w:rsidRDefault="00FE3D39" w:rsidP="00FE3D39">
      <w:pPr>
        <w:spacing w:after="0" w:line="240" w:lineRule="auto"/>
        <w:rPr>
          <w:rFonts w:ascii="Arial Narrow" w:hAnsi="Arial Narrow"/>
          <w:b/>
          <w:bCs/>
          <w:sz w:val="24"/>
          <w:szCs w:val="24"/>
          <w:lang w:val="fr-FR"/>
        </w:rPr>
      </w:pPr>
    </w:p>
    <w:p w14:paraId="4E5372A4" w14:textId="77777777" w:rsidR="00FE3D39" w:rsidRPr="00EF645B" w:rsidRDefault="00FE3D39" w:rsidP="00FE3D39">
      <w:pPr>
        <w:spacing w:after="0" w:line="240" w:lineRule="auto"/>
        <w:rPr>
          <w:rFonts w:ascii="Arial Narrow" w:hAnsi="Arial Narrow"/>
          <w:b/>
          <w:bCs/>
          <w:sz w:val="24"/>
          <w:szCs w:val="24"/>
          <w:lang w:val="fr-FR"/>
        </w:rPr>
      </w:pPr>
    </w:p>
    <w:p w14:paraId="1915DEF5" w14:textId="77777777" w:rsidR="002E51C7" w:rsidRDefault="002E51C7" w:rsidP="00EF645B">
      <w:pPr>
        <w:rPr>
          <w:rFonts w:ascii="Arial Narrow" w:hAnsi="Arial Narrow" w:cs="Arial"/>
          <w:b/>
          <w:color w:val="1F3864"/>
          <w:sz w:val="24"/>
          <w:szCs w:val="24"/>
          <w:lang w:val="it-IT"/>
        </w:rPr>
      </w:pPr>
    </w:p>
    <w:p w14:paraId="77171D24" w14:textId="77777777" w:rsidR="002E51C7" w:rsidRDefault="002E51C7" w:rsidP="00EF645B">
      <w:pPr>
        <w:rPr>
          <w:rFonts w:ascii="Arial Narrow" w:hAnsi="Arial Narrow" w:cs="Arial"/>
          <w:b/>
          <w:color w:val="1F3864"/>
          <w:sz w:val="24"/>
          <w:szCs w:val="24"/>
          <w:lang w:val="it-IT"/>
        </w:rPr>
      </w:pPr>
    </w:p>
    <w:p w14:paraId="4CC5DA80" w14:textId="77777777" w:rsidR="002E51C7" w:rsidRDefault="002E51C7" w:rsidP="00EF645B">
      <w:pPr>
        <w:rPr>
          <w:rFonts w:ascii="Arial Narrow" w:hAnsi="Arial Narrow" w:cs="Arial"/>
          <w:b/>
          <w:color w:val="1F3864"/>
          <w:sz w:val="24"/>
          <w:szCs w:val="24"/>
          <w:lang w:val="it-IT"/>
        </w:rPr>
      </w:pPr>
    </w:p>
    <w:p w14:paraId="5D5C340B" w14:textId="77777777" w:rsidR="002E51C7" w:rsidRDefault="002E51C7" w:rsidP="00EF645B">
      <w:pPr>
        <w:rPr>
          <w:rFonts w:ascii="Arial Narrow" w:hAnsi="Arial Narrow" w:cs="Arial"/>
          <w:b/>
          <w:color w:val="1F3864"/>
          <w:sz w:val="24"/>
          <w:szCs w:val="24"/>
          <w:lang w:val="it-IT"/>
        </w:rPr>
      </w:pPr>
    </w:p>
    <w:p w14:paraId="35457824" w14:textId="77777777" w:rsidR="002E51C7" w:rsidRDefault="002E51C7" w:rsidP="00EF645B">
      <w:pPr>
        <w:rPr>
          <w:rFonts w:ascii="Arial Narrow" w:hAnsi="Arial Narrow" w:cs="Arial"/>
          <w:b/>
          <w:color w:val="1F3864"/>
          <w:sz w:val="24"/>
          <w:szCs w:val="24"/>
          <w:lang w:val="it-IT"/>
        </w:rPr>
      </w:pPr>
    </w:p>
    <w:p w14:paraId="06603921" w14:textId="61E5CD5D" w:rsidR="00EF645B" w:rsidRPr="003823C7" w:rsidRDefault="00751D90" w:rsidP="00EF645B">
      <w:pPr>
        <w:rPr>
          <w:rFonts w:ascii="Arial Narrow" w:hAnsi="Arial Narrow" w:cs="Arial"/>
          <w:b/>
          <w:color w:val="1F3864"/>
          <w:sz w:val="24"/>
          <w:szCs w:val="24"/>
          <w:u w:val="single"/>
          <w:lang w:val="it-IT"/>
        </w:rPr>
      </w:pPr>
      <w:r>
        <w:rPr>
          <w:rFonts w:ascii="Arial Narrow" w:hAnsi="Arial Narrow" w:cs="Arial"/>
          <w:b/>
          <w:color w:val="1F3864"/>
          <w:sz w:val="24"/>
          <w:szCs w:val="24"/>
          <w:u w:val="single"/>
          <w:lang w:val="it-IT"/>
        </w:rPr>
        <w:lastRenderedPageBreak/>
        <w:t xml:space="preserve">Vineri, </w:t>
      </w:r>
      <w:r w:rsidR="00EF645B" w:rsidRPr="003823C7">
        <w:rPr>
          <w:rFonts w:ascii="Arial Narrow" w:hAnsi="Arial Narrow" w:cs="Arial"/>
          <w:b/>
          <w:color w:val="1F3864"/>
          <w:sz w:val="24"/>
          <w:szCs w:val="24"/>
          <w:u w:val="single"/>
          <w:lang w:val="it-IT"/>
        </w:rPr>
        <w:t>27 octombrie 2017</w:t>
      </w:r>
    </w:p>
    <w:p w14:paraId="347C5179" w14:textId="77777777" w:rsidR="00EF645B" w:rsidRPr="00EF645B" w:rsidRDefault="00EF645B" w:rsidP="00EF645B">
      <w:pPr>
        <w:rPr>
          <w:rFonts w:ascii="Arial Narrow" w:hAnsi="Arial Narrow" w:cs="Arial"/>
          <w:b/>
          <w:color w:val="1F3864"/>
          <w:sz w:val="24"/>
          <w:szCs w:val="24"/>
          <w:lang w:val="it-IT"/>
        </w:rPr>
      </w:pPr>
      <w:r w:rsidRPr="00EF645B">
        <w:rPr>
          <w:rFonts w:ascii="Arial Narrow" w:hAnsi="Arial Narrow" w:cs="Arial"/>
          <w:b/>
          <w:color w:val="1F3864"/>
          <w:sz w:val="24"/>
          <w:szCs w:val="24"/>
          <w:lang w:val="it-IT"/>
        </w:rPr>
        <w:t xml:space="preserve">Experți: </w:t>
      </w:r>
    </w:p>
    <w:p w14:paraId="7B08CC6D" w14:textId="77777777" w:rsidR="00EF645B" w:rsidRPr="00EF645B" w:rsidRDefault="00EF645B" w:rsidP="00EF645B">
      <w:pPr>
        <w:spacing w:after="0" w:line="240" w:lineRule="auto"/>
        <w:rPr>
          <w:rFonts w:ascii="Arial Narrow" w:hAnsi="Arial Narrow" w:cs="Arial"/>
          <w:b/>
          <w:color w:val="1F3864"/>
          <w:sz w:val="24"/>
          <w:szCs w:val="24"/>
          <w:lang w:val="it-IT"/>
        </w:rPr>
      </w:pPr>
      <w:r w:rsidRPr="00EF645B">
        <w:rPr>
          <w:rFonts w:ascii="Arial Narrow" w:hAnsi="Arial Narrow" w:cs="Arial"/>
          <w:b/>
          <w:color w:val="1F3864"/>
          <w:sz w:val="24"/>
          <w:szCs w:val="24"/>
          <w:lang w:val="it-IT"/>
        </w:rPr>
        <w:t>Roxana STANCIU, judecator Tribunalul Bucuresti,</w:t>
      </w:r>
    </w:p>
    <w:p w14:paraId="1B975F98" w14:textId="77777777" w:rsidR="00EF645B" w:rsidRPr="00EF645B" w:rsidRDefault="00EF645B" w:rsidP="00EF645B">
      <w:pPr>
        <w:spacing w:after="0" w:line="240" w:lineRule="auto"/>
        <w:rPr>
          <w:rFonts w:ascii="Arial Narrow" w:hAnsi="Arial Narrow" w:cs="Arial"/>
          <w:b/>
          <w:color w:val="1F3864"/>
          <w:sz w:val="24"/>
          <w:szCs w:val="24"/>
          <w:lang w:val="it-IT"/>
        </w:rPr>
      </w:pPr>
      <w:r w:rsidRPr="00EF645B">
        <w:rPr>
          <w:rFonts w:ascii="Arial Narrow" w:hAnsi="Arial Narrow" w:cs="Arial"/>
          <w:b/>
          <w:color w:val="1F3864"/>
          <w:sz w:val="24"/>
          <w:szCs w:val="24"/>
          <w:lang w:val="it-IT"/>
        </w:rPr>
        <w:t>Nicolae Horia ŢIŢ, lector universitar Facultatea de Drept - Universitatea Alexandru Ioan Cuza din Iasi</w:t>
      </w:r>
    </w:p>
    <w:p w14:paraId="45EEF11C" w14:textId="77777777" w:rsidR="008B24F3" w:rsidRPr="00C37726" w:rsidRDefault="008B24F3" w:rsidP="00FE3D39">
      <w:pPr>
        <w:spacing w:after="0" w:line="240" w:lineRule="auto"/>
        <w:rPr>
          <w:rFonts w:ascii="Arial Narrow" w:hAnsi="Arial Narrow"/>
          <w:b/>
          <w:bCs/>
          <w:sz w:val="24"/>
          <w:szCs w:val="24"/>
          <w:lang w:val="it-IT"/>
        </w:rPr>
      </w:pPr>
    </w:p>
    <w:tbl>
      <w:tblPr>
        <w:tblW w:w="0" w:type="auto"/>
        <w:tblBorders>
          <w:top w:val="single" w:sz="8" w:space="0" w:color="4F81BD"/>
          <w:bottom w:val="single" w:sz="8" w:space="0" w:color="4F81BD"/>
        </w:tblBorders>
        <w:tblLook w:val="04A0" w:firstRow="1" w:lastRow="0" w:firstColumn="1" w:lastColumn="0" w:noHBand="0" w:noVBand="1"/>
      </w:tblPr>
      <w:tblGrid>
        <w:gridCol w:w="1795"/>
        <w:gridCol w:w="7231"/>
      </w:tblGrid>
      <w:tr w:rsidR="00FE3D39" w:rsidRPr="00EF645B" w14:paraId="47BE6F2B" w14:textId="77777777" w:rsidTr="00ED2697">
        <w:tc>
          <w:tcPr>
            <w:tcW w:w="1795" w:type="dxa"/>
            <w:tcBorders>
              <w:left w:val="nil"/>
              <w:right w:val="nil"/>
            </w:tcBorders>
            <w:shd w:val="clear" w:color="auto" w:fill="D3DFEE"/>
          </w:tcPr>
          <w:p w14:paraId="33B77DF2" w14:textId="0BC268A4" w:rsidR="00FE3D39" w:rsidRPr="00EF645B" w:rsidRDefault="00F45151" w:rsidP="00ED2697">
            <w:pPr>
              <w:rPr>
                <w:rFonts w:ascii="Arial Narrow" w:hAnsi="Arial Narrow" w:cs="Arial"/>
                <w:i/>
                <w:color w:val="1F3864"/>
                <w:sz w:val="24"/>
                <w:szCs w:val="24"/>
              </w:rPr>
            </w:pPr>
            <w:r w:rsidRPr="00EF645B">
              <w:rPr>
                <w:rFonts w:ascii="Arial Narrow" w:hAnsi="Arial Narrow" w:cs="Arial"/>
                <w:i/>
                <w:color w:val="1F3864"/>
                <w:sz w:val="24"/>
                <w:szCs w:val="24"/>
              </w:rPr>
              <w:t>09.0</w:t>
            </w:r>
            <w:r w:rsidR="00FE3D39" w:rsidRPr="00EF645B">
              <w:rPr>
                <w:rFonts w:ascii="Arial Narrow" w:hAnsi="Arial Narrow" w:cs="Arial"/>
                <w:i/>
                <w:color w:val="1F3864"/>
                <w:sz w:val="24"/>
                <w:szCs w:val="24"/>
              </w:rPr>
              <w:t>0-10.30</w:t>
            </w:r>
          </w:p>
        </w:tc>
        <w:tc>
          <w:tcPr>
            <w:tcW w:w="7231" w:type="dxa"/>
            <w:tcBorders>
              <w:left w:val="nil"/>
              <w:right w:val="nil"/>
            </w:tcBorders>
            <w:shd w:val="clear" w:color="auto" w:fill="D3DFEE"/>
          </w:tcPr>
          <w:p w14:paraId="216787F4" w14:textId="5748BB97" w:rsidR="00FE3D39" w:rsidRPr="00EF645B" w:rsidRDefault="00197BE0" w:rsidP="006C3542">
            <w:pPr>
              <w:numPr>
                <w:ilvl w:val="0"/>
                <w:numId w:val="8"/>
              </w:numPr>
              <w:spacing w:after="0"/>
              <w:rPr>
                <w:rFonts w:ascii="Arial Narrow" w:hAnsi="Arial Narrow"/>
                <w:b/>
                <w:color w:val="365F91"/>
                <w:sz w:val="24"/>
                <w:szCs w:val="24"/>
              </w:rPr>
            </w:pPr>
            <w:r w:rsidRPr="00EF645B">
              <w:rPr>
                <w:rFonts w:ascii="Arial Narrow" w:hAnsi="Arial Narrow"/>
                <w:b/>
                <w:color w:val="365F91"/>
                <w:sz w:val="24"/>
                <w:szCs w:val="24"/>
              </w:rPr>
              <w:t>Constatarea unei stări de fapt în condițiile art. 364 C. proc. civ.</w:t>
            </w:r>
          </w:p>
          <w:p w14:paraId="3051A89D" w14:textId="7D7E1EBC" w:rsidR="00FE3D39" w:rsidRPr="00EF645B" w:rsidRDefault="00FE3D39" w:rsidP="00EF645B">
            <w:pPr>
              <w:numPr>
                <w:ilvl w:val="0"/>
                <w:numId w:val="8"/>
              </w:numPr>
              <w:spacing w:after="0"/>
              <w:rPr>
                <w:rFonts w:ascii="Arial Narrow" w:hAnsi="Arial Narrow" w:cs="Arial"/>
                <w:color w:val="1F3864"/>
                <w:sz w:val="24"/>
                <w:szCs w:val="24"/>
              </w:rPr>
            </w:pPr>
            <w:r w:rsidRPr="00EF645B">
              <w:rPr>
                <w:rFonts w:ascii="Arial Narrow" w:hAnsi="Arial Narrow"/>
                <w:color w:val="365F91"/>
                <w:sz w:val="24"/>
                <w:szCs w:val="24"/>
              </w:rPr>
              <w:t>Sesiune de întrebări şi răspunsuri</w:t>
            </w:r>
          </w:p>
        </w:tc>
      </w:tr>
      <w:tr w:rsidR="00FE3D39" w:rsidRPr="00EF645B" w14:paraId="047E9916" w14:textId="77777777" w:rsidTr="00ED2697">
        <w:tc>
          <w:tcPr>
            <w:tcW w:w="1795" w:type="dxa"/>
            <w:shd w:val="clear" w:color="auto" w:fill="auto"/>
          </w:tcPr>
          <w:p w14:paraId="6FBBA02E" w14:textId="77777777" w:rsidR="00FE3D39" w:rsidRPr="00EF645B" w:rsidRDefault="00FE3D39" w:rsidP="00ED2697">
            <w:pPr>
              <w:rPr>
                <w:rFonts w:ascii="Arial Narrow" w:hAnsi="Arial Narrow" w:cs="Arial"/>
                <w:i/>
                <w:color w:val="1F3864"/>
                <w:sz w:val="24"/>
                <w:szCs w:val="24"/>
              </w:rPr>
            </w:pPr>
            <w:r w:rsidRPr="00EF645B">
              <w:rPr>
                <w:rFonts w:ascii="Arial Narrow" w:hAnsi="Arial Narrow" w:cs="Arial"/>
                <w:i/>
                <w:color w:val="1F3864"/>
                <w:sz w:val="24"/>
                <w:szCs w:val="24"/>
              </w:rPr>
              <w:t xml:space="preserve">10.30-11.00 </w:t>
            </w:r>
          </w:p>
        </w:tc>
        <w:tc>
          <w:tcPr>
            <w:tcW w:w="7231" w:type="dxa"/>
            <w:shd w:val="clear" w:color="auto" w:fill="auto"/>
          </w:tcPr>
          <w:p w14:paraId="0BFD0391" w14:textId="77777777" w:rsidR="00FE3D39" w:rsidRPr="00EF645B" w:rsidRDefault="00FE3D39" w:rsidP="00ED2697">
            <w:pPr>
              <w:rPr>
                <w:rFonts w:ascii="Arial Narrow" w:hAnsi="Arial Narrow" w:cs="Arial"/>
                <w:color w:val="1F3864"/>
                <w:sz w:val="24"/>
                <w:szCs w:val="24"/>
              </w:rPr>
            </w:pPr>
            <w:r w:rsidRPr="00EF645B">
              <w:rPr>
                <w:rFonts w:ascii="Arial Narrow" w:hAnsi="Arial Narrow" w:cs="Arial"/>
                <w:color w:val="1F3864"/>
                <w:sz w:val="24"/>
                <w:szCs w:val="24"/>
              </w:rPr>
              <w:t xml:space="preserve">Pauză de cafea </w:t>
            </w:r>
          </w:p>
        </w:tc>
      </w:tr>
      <w:tr w:rsidR="00FE3D39" w:rsidRPr="00EF645B" w14:paraId="69BD3612" w14:textId="77777777" w:rsidTr="00ED2697">
        <w:tc>
          <w:tcPr>
            <w:tcW w:w="1795" w:type="dxa"/>
            <w:tcBorders>
              <w:left w:val="nil"/>
              <w:right w:val="nil"/>
            </w:tcBorders>
            <w:shd w:val="clear" w:color="auto" w:fill="D3DFEE"/>
          </w:tcPr>
          <w:p w14:paraId="07C39871" w14:textId="77777777" w:rsidR="00FE3D39" w:rsidRPr="00EF645B" w:rsidRDefault="00FE3D39" w:rsidP="00ED2697">
            <w:pPr>
              <w:rPr>
                <w:rFonts w:ascii="Arial Narrow" w:hAnsi="Arial Narrow" w:cs="Arial"/>
                <w:i/>
                <w:color w:val="1F3864"/>
                <w:sz w:val="24"/>
                <w:szCs w:val="24"/>
              </w:rPr>
            </w:pPr>
            <w:r w:rsidRPr="00EF645B">
              <w:rPr>
                <w:rFonts w:ascii="Arial Narrow" w:hAnsi="Arial Narrow" w:cs="Arial"/>
                <w:i/>
                <w:color w:val="1F3864"/>
                <w:sz w:val="24"/>
                <w:szCs w:val="24"/>
              </w:rPr>
              <w:t>11.00-12.30</w:t>
            </w:r>
          </w:p>
        </w:tc>
        <w:tc>
          <w:tcPr>
            <w:tcW w:w="7231" w:type="dxa"/>
            <w:tcBorders>
              <w:left w:val="nil"/>
              <w:right w:val="nil"/>
            </w:tcBorders>
            <w:shd w:val="clear" w:color="auto" w:fill="D3DFEE"/>
          </w:tcPr>
          <w:p w14:paraId="75BBEA69" w14:textId="7B97DCAB" w:rsidR="00FE3D39" w:rsidRPr="00EF645B" w:rsidRDefault="00197BE0" w:rsidP="00197BE0">
            <w:pPr>
              <w:numPr>
                <w:ilvl w:val="0"/>
                <w:numId w:val="8"/>
              </w:numPr>
              <w:spacing w:after="0"/>
              <w:rPr>
                <w:rFonts w:ascii="Arial Narrow" w:hAnsi="Arial Narrow"/>
                <w:b/>
                <w:color w:val="365F91"/>
                <w:sz w:val="24"/>
                <w:szCs w:val="24"/>
              </w:rPr>
            </w:pPr>
            <w:r w:rsidRPr="00EF645B">
              <w:rPr>
                <w:rFonts w:ascii="Arial Narrow" w:hAnsi="Arial Narrow"/>
                <w:b/>
                <w:color w:val="365F91"/>
                <w:sz w:val="24"/>
                <w:szCs w:val="24"/>
              </w:rPr>
              <w:t>Procedura de judecată a contestației la executare</w:t>
            </w:r>
          </w:p>
          <w:p w14:paraId="120F22F8" w14:textId="196A0576" w:rsidR="00FE3D39" w:rsidRPr="00EF645B" w:rsidRDefault="00FE3D39" w:rsidP="00EF645B">
            <w:pPr>
              <w:numPr>
                <w:ilvl w:val="0"/>
                <w:numId w:val="8"/>
              </w:numPr>
              <w:spacing w:after="0"/>
              <w:rPr>
                <w:rFonts w:ascii="Arial Narrow" w:hAnsi="Arial Narrow" w:cs="Arial"/>
                <w:color w:val="1F3864"/>
                <w:sz w:val="24"/>
                <w:szCs w:val="24"/>
              </w:rPr>
            </w:pPr>
            <w:r w:rsidRPr="00EF645B">
              <w:rPr>
                <w:rFonts w:ascii="Arial Narrow" w:hAnsi="Arial Narrow"/>
                <w:color w:val="365F91"/>
                <w:sz w:val="24"/>
                <w:szCs w:val="24"/>
              </w:rPr>
              <w:t xml:space="preserve">Sesiune de întrebări </w:t>
            </w:r>
            <w:r w:rsidR="004D4BC0" w:rsidRPr="00EF645B">
              <w:rPr>
                <w:rFonts w:ascii="Arial Narrow" w:hAnsi="Arial Narrow"/>
                <w:color w:val="365F91"/>
                <w:sz w:val="24"/>
                <w:szCs w:val="24"/>
              </w:rPr>
              <w:t>și</w:t>
            </w:r>
            <w:r w:rsidRPr="00EF645B">
              <w:rPr>
                <w:rFonts w:ascii="Arial Narrow" w:hAnsi="Arial Narrow"/>
                <w:color w:val="365F91"/>
                <w:sz w:val="24"/>
                <w:szCs w:val="24"/>
              </w:rPr>
              <w:t xml:space="preserve"> răspunsuri</w:t>
            </w:r>
            <w:r w:rsidRPr="00EF645B">
              <w:rPr>
                <w:rFonts w:ascii="Arial Narrow" w:hAnsi="Arial Narrow"/>
                <w:b/>
                <w:color w:val="365F91"/>
                <w:sz w:val="24"/>
                <w:szCs w:val="24"/>
                <w:lang w:val="it-IT"/>
              </w:rPr>
              <w:t xml:space="preserve"> </w:t>
            </w:r>
          </w:p>
        </w:tc>
      </w:tr>
      <w:tr w:rsidR="00FE3D39" w:rsidRPr="00EF645B" w14:paraId="1DA91D66" w14:textId="77777777" w:rsidTr="00ED2697">
        <w:tc>
          <w:tcPr>
            <w:tcW w:w="1795" w:type="dxa"/>
            <w:shd w:val="clear" w:color="auto" w:fill="auto"/>
          </w:tcPr>
          <w:p w14:paraId="1AD0304D" w14:textId="77777777" w:rsidR="00FE3D39" w:rsidRPr="00EF645B" w:rsidRDefault="00FE3D39" w:rsidP="00ED2697">
            <w:pPr>
              <w:rPr>
                <w:rFonts w:ascii="Arial Narrow" w:hAnsi="Arial Narrow" w:cs="Arial"/>
                <w:i/>
                <w:color w:val="1F3864"/>
                <w:sz w:val="24"/>
                <w:szCs w:val="24"/>
              </w:rPr>
            </w:pPr>
            <w:r w:rsidRPr="00EF645B">
              <w:rPr>
                <w:rFonts w:ascii="Arial Narrow" w:hAnsi="Arial Narrow" w:cs="Arial"/>
                <w:i/>
                <w:color w:val="1F3864"/>
                <w:sz w:val="24"/>
                <w:szCs w:val="24"/>
              </w:rPr>
              <w:t>12.30-13.30</w:t>
            </w:r>
          </w:p>
        </w:tc>
        <w:tc>
          <w:tcPr>
            <w:tcW w:w="7231" w:type="dxa"/>
            <w:shd w:val="clear" w:color="auto" w:fill="auto"/>
          </w:tcPr>
          <w:p w14:paraId="3FD9B2B2" w14:textId="77777777" w:rsidR="00FE3D39" w:rsidRPr="00EF645B" w:rsidRDefault="00FE3D39" w:rsidP="00ED2697">
            <w:pPr>
              <w:rPr>
                <w:rFonts w:ascii="Arial Narrow" w:hAnsi="Arial Narrow" w:cs="Arial"/>
                <w:color w:val="1F3864"/>
                <w:sz w:val="24"/>
                <w:szCs w:val="24"/>
              </w:rPr>
            </w:pPr>
            <w:r w:rsidRPr="00EF645B">
              <w:rPr>
                <w:rFonts w:ascii="Arial Narrow" w:hAnsi="Arial Narrow" w:cs="Arial"/>
                <w:color w:val="1F3864"/>
                <w:sz w:val="24"/>
                <w:szCs w:val="24"/>
              </w:rPr>
              <w:t>Prânz</w:t>
            </w:r>
          </w:p>
        </w:tc>
      </w:tr>
      <w:tr w:rsidR="00FE3D39" w:rsidRPr="00EF645B" w14:paraId="74B3CDDC" w14:textId="77777777" w:rsidTr="00ED2697">
        <w:tc>
          <w:tcPr>
            <w:tcW w:w="1795" w:type="dxa"/>
            <w:tcBorders>
              <w:left w:val="nil"/>
              <w:right w:val="nil"/>
            </w:tcBorders>
            <w:shd w:val="clear" w:color="auto" w:fill="D3DFEE"/>
          </w:tcPr>
          <w:p w14:paraId="7BD99783" w14:textId="77777777" w:rsidR="00FE3D39" w:rsidRPr="00EF645B" w:rsidRDefault="00FE3D39" w:rsidP="00ED2697">
            <w:pPr>
              <w:rPr>
                <w:rFonts w:ascii="Arial Narrow" w:hAnsi="Arial Narrow" w:cs="Arial"/>
                <w:i/>
                <w:color w:val="1F3864"/>
                <w:sz w:val="24"/>
                <w:szCs w:val="24"/>
              </w:rPr>
            </w:pPr>
            <w:r w:rsidRPr="00EF645B">
              <w:rPr>
                <w:rFonts w:ascii="Arial Narrow" w:hAnsi="Arial Narrow" w:cs="Arial"/>
                <w:i/>
                <w:color w:val="1F3864"/>
                <w:sz w:val="24"/>
                <w:szCs w:val="24"/>
              </w:rPr>
              <w:t>13.30-15.00</w:t>
            </w:r>
          </w:p>
        </w:tc>
        <w:tc>
          <w:tcPr>
            <w:tcW w:w="7231" w:type="dxa"/>
            <w:tcBorders>
              <w:left w:val="nil"/>
              <w:right w:val="nil"/>
            </w:tcBorders>
            <w:shd w:val="clear" w:color="auto" w:fill="D3DFEE"/>
          </w:tcPr>
          <w:p w14:paraId="6596650A" w14:textId="1E2FD4DE" w:rsidR="00FE3D39" w:rsidRPr="00EF645B" w:rsidRDefault="00197BE0" w:rsidP="00223060">
            <w:pPr>
              <w:numPr>
                <w:ilvl w:val="0"/>
                <w:numId w:val="8"/>
              </w:numPr>
              <w:spacing w:after="0"/>
              <w:contextualSpacing/>
              <w:rPr>
                <w:rFonts w:ascii="Arial Narrow" w:hAnsi="Arial Narrow"/>
                <w:b/>
                <w:color w:val="365F91"/>
                <w:sz w:val="24"/>
                <w:szCs w:val="24"/>
              </w:rPr>
            </w:pPr>
            <w:r w:rsidRPr="00EF645B">
              <w:rPr>
                <w:rFonts w:ascii="Arial Narrow" w:hAnsi="Arial Narrow"/>
                <w:b/>
                <w:color w:val="365F91"/>
                <w:sz w:val="24"/>
                <w:szCs w:val="24"/>
              </w:rPr>
              <w:t>Titlurile executorii reprezentate de contractele de credit sau contractele de leasing</w:t>
            </w:r>
            <w:r w:rsidR="006C3542" w:rsidRPr="00EF645B">
              <w:rPr>
                <w:rFonts w:ascii="Arial Narrow" w:hAnsi="Arial Narrow"/>
                <w:b/>
                <w:color w:val="365F91"/>
                <w:sz w:val="24"/>
                <w:szCs w:val="24"/>
              </w:rPr>
              <w:t xml:space="preserve"> </w:t>
            </w:r>
          </w:p>
          <w:p w14:paraId="09FAC713" w14:textId="7DFC39E7" w:rsidR="00FE3D39" w:rsidRPr="00EF645B" w:rsidRDefault="00FE3D39" w:rsidP="00EF645B">
            <w:pPr>
              <w:numPr>
                <w:ilvl w:val="0"/>
                <w:numId w:val="8"/>
              </w:numPr>
              <w:spacing w:after="0"/>
              <w:contextualSpacing/>
              <w:rPr>
                <w:rFonts w:ascii="Arial Narrow" w:hAnsi="Arial Narrow" w:cs="Arial"/>
                <w:color w:val="1F3864"/>
                <w:sz w:val="24"/>
                <w:szCs w:val="24"/>
              </w:rPr>
            </w:pPr>
            <w:r w:rsidRPr="00EF645B">
              <w:rPr>
                <w:rFonts w:ascii="Arial Narrow" w:hAnsi="Arial Narrow"/>
                <w:color w:val="365F91"/>
                <w:sz w:val="24"/>
                <w:szCs w:val="24"/>
              </w:rPr>
              <w:t xml:space="preserve">Sesiune de întrebări </w:t>
            </w:r>
            <w:r w:rsidR="004D4BC0" w:rsidRPr="00EF645B">
              <w:rPr>
                <w:rFonts w:ascii="Arial Narrow" w:hAnsi="Arial Narrow"/>
                <w:color w:val="365F91"/>
                <w:sz w:val="24"/>
                <w:szCs w:val="24"/>
              </w:rPr>
              <w:t>și</w:t>
            </w:r>
            <w:r w:rsidRPr="00EF645B">
              <w:rPr>
                <w:rFonts w:ascii="Arial Narrow" w:hAnsi="Arial Narrow"/>
                <w:color w:val="365F91"/>
                <w:sz w:val="24"/>
                <w:szCs w:val="24"/>
              </w:rPr>
              <w:t xml:space="preserve"> răspunsuri</w:t>
            </w:r>
          </w:p>
        </w:tc>
      </w:tr>
      <w:tr w:rsidR="00FE3D39" w:rsidRPr="00EF645B" w14:paraId="0C0E4E9E" w14:textId="77777777" w:rsidTr="00ED2697">
        <w:tc>
          <w:tcPr>
            <w:tcW w:w="1795" w:type="dxa"/>
            <w:shd w:val="clear" w:color="auto" w:fill="auto"/>
          </w:tcPr>
          <w:p w14:paraId="30ED6656" w14:textId="77777777" w:rsidR="00FE3D39" w:rsidRPr="00EF645B" w:rsidRDefault="00FE3D39" w:rsidP="00ED2697">
            <w:pPr>
              <w:rPr>
                <w:rFonts w:ascii="Arial Narrow" w:hAnsi="Arial Narrow" w:cs="Arial"/>
                <w:i/>
                <w:color w:val="1F3864"/>
                <w:sz w:val="24"/>
                <w:szCs w:val="24"/>
              </w:rPr>
            </w:pPr>
            <w:r w:rsidRPr="00EF645B">
              <w:rPr>
                <w:rFonts w:ascii="Arial Narrow" w:hAnsi="Arial Narrow" w:cs="Arial"/>
                <w:i/>
                <w:color w:val="1F3864"/>
                <w:sz w:val="24"/>
                <w:szCs w:val="24"/>
              </w:rPr>
              <w:t>15.00-15.30</w:t>
            </w:r>
          </w:p>
        </w:tc>
        <w:tc>
          <w:tcPr>
            <w:tcW w:w="7231" w:type="dxa"/>
            <w:shd w:val="clear" w:color="auto" w:fill="auto"/>
          </w:tcPr>
          <w:p w14:paraId="1E7BBCFF" w14:textId="77777777" w:rsidR="00FE3D39" w:rsidRPr="00EF645B" w:rsidRDefault="00FE3D39" w:rsidP="00ED2697">
            <w:pPr>
              <w:rPr>
                <w:rFonts w:ascii="Arial Narrow" w:hAnsi="Arial Narrow" w:cs="Arial"/>
                <w:color w:val="1F3864"/>
                <w:sz w:val="24"/>
                <w:szCs w:val="24"/>
              </w:rPr>
            </w:pPr>
            <w:r w:rsidRPr="00EF645B">
              <w:rPr>
                <w:rFonts w:ascii="Arial Narrow" w:hAnsi="Arial Narrow" w:cs="Arial"/>
                <w:color w:val="1F3864"/>
                <w:sz w:val="24"/>
                <w:szCs w:val="24"/>
              </w:rPr>
              <w:t>Pauză de cafea</w:t>
            </w:r>
          </w:p>
        </w:tc>
      </w:tr>
      <w:tr w:rsidR="00FE3D39" w:rsidRPr="00EF645B" w14:paraId="1596D043" w14:textId="77777777" w:rsidTr="00ED2697">
        <w:tc>
          <w:tcPr>
            <w:tcW w:w="1795" w:type="dxa"/>
            <w:tcBorders>
              <w:left w:val="nil"/>
              <w:right w:val="nil"/>
            </w:tcBorders>
            <w:shd w:val="clear" w:color="auto" w:fill="D3DFEE"/>
          </w:tcPr>
          <w:p w14:paraId="1BEABDEC" w14:textId="77777777" w:rsidR="00FE3D39" w:rsidRPr="00EF645B" w:rsidRDefault="00FE3D39" w:rsidP="00ED2697">
            <w:pPr>
              <w:rPr>
                <w:rFonts w:ascii="Arial Narrow" w:hAnsi="Arial Narrow" w:cs="Arial"/>
                <w:i/>
                <w:color w:val="1F3864"/>
                <w:sz w:val="24"/>
                <w:szCs w:val="24"/>
              </w:rPr>
            </w:pPr>
            <w:r w:rsidRPr="00EF645B">
              <w:rPr>
                <w:rFonts w:ascii="Arial Narrow" w:hAnsi="Arial Narrow" w:cs="Arial"/>
                <w:i/>
                <w:color w:val="1F3864"/>
                <w:sz w:val="24"/>
                <w:szCs w:val="24"/>
              </w:rPr>
              <w:t>15.30-16.00</w:t>
            </w:r>
          </w:p>
        </w:tc>
        <w:tc>
          <w:tcPr>
            <w:tcW w:w="7231" w:type="dxa"/>
            <w:tcBorders>
              <w:left w:val="nil"/>
              <w:right w:val="nil"/>
            </w:tcBorders>
            <w:shd w:val="clear" w:color="auto" w:fill="D3DFEE"/>
          </w:tcPr>
          <w:p w14:paraId="1784B4E5" w14:textId="77777777" w:rsidR="00FE3D39" w:rsidRPr="00EF645B" w:rsidRDefault="00FE3D39" w:rsidP="00FE3D39">
            <w:pPr>
              <w:numPr>
                <w:ilvl w:val="0"/>
                <w:numId w:val="8"/>
              </w:numPr>
              <w:spacing w:after="0"/>
              <w:contextualSpacing/>
              <w:rPr>
                <w:rFonts w:ascii="Arial Narrow" w:hAnsi="Arial Narrow"/>
                <w:b/>
                <w:color w:val="365F91"/>
                <w:sz w:val="24"/>
                <w:szCs w:val="24"/>
              </w:rPr>
            </w:pPr>
            <w:r w:rsidRPr="00EF645B">
              <w:rPr>
                <w:rFonts w:ascii="Arial Narrow" w:hAnsi="Arial Narrow"/>
                <w:b/>
                <w:color w:val="365F91"/>
                <w:sz w:val="24"/>
                <w:szCs w:val="24"/>
              </w:rPr>
              <w:t>Dezbateri, concluzii</w:t>
            </w:r>
          </w:p>
          <w:p w14:paraId="31474109" w14:textId="48045236" w:rsidR="00FE3D39" w:rsidRPr="00EF645B" w:rsidRDefault="00FE3D39" w:rsidP="00751D90">
            <w:pPr>
              <w:numPr>
                <w:ilvl w:val="0"/>
                <w:numId w:val="8"/>
              </w:numPr>
              <w:spacing w:after="0"/>
              <w:contextualSpacing/>
              <w:rPr>
                <w:rFonts w:ascii="Arial Narrow" w:hAnsi="Arial Narrow" w:cs="Arial"/>
                <w:color w:val="1F3864"/>
                <w:sz w:val="24"/>
                <w:szCs w:val="24"/>
              </w:rPr>
            </w:pPr>
            <w:r w:rsidRPr="00EF645B">
              <w:rPr>
                <w:rFonts w:ascii="Arial Narrow" w:hAnsi="Arial Narrow"/>
                <w:color w:val="365F91"/>
                <w:sz w:val="24"/>
                <w:szCs w:val="24"/>
              </w:rPr>
              <w:t>Completarea fișelor de evaluare, înmânarea certificatelor de participare</w:t>
            </w:r>
          </w:p>
        </w:tc>
      </w:tr>
    </w:tbl>
    <w:p w14:paraId="02985C38" w14:textId="77777777" w:rsidR="006E5006" w:rsidRPr="00A42163" w:rsidRDefault="006E5006" w:rsidP="006E5006">
      <w:pPr>
        <w:spacing w:line="360" w:lineRule="auto"/>
        <w:rPr>
          <w:rFonts w:ascii="Arial Narrow" w:hAnsi="Arial Narrow"/>
          <w:b/>
          <w:color w:val="FF0000"/>
        </w:rPr>
      </w:pPr>
      <w:r w:rsidRPr="00A42163">
        <w:rPr>
          <w:rFonts w:ascii="Arial Narrow" w:hAnsi="Arial Narrow"/>
          <w:b/>
          <w:color w:val="FF0000"/>
        </w:rPr>
        <w:t>TEMATCA</w:t>
      </w:r>
    </w:p>
    <w:p w14:paraId="2A168A44" w14:textId="77777777" w:rsidR="006E5006" w:rsidRPr="00A42163" w:rsidRDefault="006E5006" w:rsidP="006E5006">
      <w:pPr>
        <w:rPr>
          <w:rFonts w:ascii="Arial Narrow" w:hAnsi="Arial Narrow"/>
          <w:b/>
        </w:rPr>
      </w:pPr>
      <w:r w:rsidRPr="00A42163">
        <w:rPr>
          <w:rFonts w:ascii="Arial Narrow" w:hAnsi="Arial Narrow"/>
          <w:b/>
        </w:rPr>
        <w:t>Bogdan DUMITRACHE :</w:t>
      </w:r>
    </w:p>
    <w:p w14:paraId="3DC315D7" w14:textId="77777777" w:rsidR="006E5006" w:rsidRPr="00A42163" w:rsidRDefault="006E5006" w:rsidP="006E5006">
      <w:pPr>
        <w:rPr>
          <w:rFonts w:ascii="Arial Narrow" w:hAnsi="Arial Narrow"/>
        </w:rPr>
      </w:pPr>
      <w:r w:rsidRPr="00A42163">
        <w:rPr>
          <w:rFonts w:ascii="Arial Narrow" w:hAnsi="Arial Narrow"/>
        </w:rPr>
        <w:t>1.Problema restituirii cauţiunii judiciare. Corelarea art. 1064 şi  art.720 C.pr.civ.</w:t>
      </w:r>
    </w:p>
    <w:p w14:paraId="0029C05C" w14:textId="77777777" w:rsidR="006E5006" w:rsidRPr="00A42163" w:rsidRDefault="006E5006" w:rsidP="006E5006">
      <w:pPr>
        <w:rPr>
          <w:rFonts w:ascii="Arial Narrow" w:hAnsi="Arial Narrow"/>
        </w:rPr>
      </w:pPr>
      <w:r w:rsidRPr="00A42163">
        <w:rPr>
          <w:rFonts w:ascii="Arial Narrow" w:hAnsi="Arial Narrow"/>
        </w:rPr>
        <w:t>2. Măsurile de executare silită (poprire pe conturi) și gajul pe cont al creditorului bancar, având în vedere dispozițiile art. 655 C. proc. civ.</w:t>
      </w:r>
    </w:p>
    <w:p w14:paraId="5CC5486F" w14:textId="77777777" w:rsidR="006E5006" w:rsidRPr="00A42163" w:rsidRDefault="006E5006" w:rsidP="006E5006">
      <w:pPr>
        <w:jc w:val="both"/>
        <w:rPr>
          <w:rFonts w:ascii="Arial Narrow" w:hAnsi="Arial Narrow"/>
        </w:rPr>
      </w:pPr>
      <w:r w:rsidRPr="00A42163">
        <w:rPr>
          <w:rFonts w:ascii="Arial Narrow" w:hAnsi="Arial Narrow"/>
        </w:rPr>
        <w:t>- în practică, se înființează poprirea asupra conturilor debitorului iar terțul poprit, care are și calitatea de creditor pentru rata scadentă, nu dă curs popririi, eliberându-și suma de bani aflată în contul debitorului; în ce măsură acțiunea de validare a popririi l-ar putea obliga pe terțul poprit să vireze această sumă de bani către executorul judecătoresc, urmând ca aceasta să fie distribuită creditorilor conform dispozițiilor legale?</w:t>
      </w:r>
    </w:p>
    <w:p w14:paraId="1778C151" w14:textId="77777777" w:rsidR="006E5006" w:rsidRPr="00A42163" w:rsidRDefault="006E5006" w:rsidP="006E5006">
      <w:pPr>
        <w:rPr>
          <w:rFonts w:ascii="Arial Narrow" w:hAnsi="Arial Narrow"/>
        </w:rPr>
      </w:pPr>
      <w:r w:rsidRPr="00A42163">
        <w:rPr>
          <w:rFonts w:ascii="Arial Narrow" w:hAnsi="Arial Narrow"/>
        </w:rPr>
        <w:t>3. Executarea silită a persoanelor care obțin venituri din PFA sau PFI (și a bunurilor PFA sau PFI)</w:t>
      </w:r>
    </w:p>
    <w:p w14:paraId="0E9CED03" w14:textId="77777777" w:rsidR="006E5006" w:rsidRPr="00A42163" w:rsidRDefault="006E5006" w:rsidP="006E5006">
      <w:pPr>
        <w:rPr>
          <w:rFonts w:ascii="Arial Narrow" w:hAnsi="Arial Narrow"/>
        </w:rPr>
      </w:pPr>
      <w:r w:rsidRPr="00A42163">
        <w:rPr>
          <w:rFonts w:ascii="Arial Narrow" w:hAnsi="Arial Narrow"/>
        </w:rPr>
        <w:t xml:space="preserve">4. Aplicarea dispozițiilor art. 177 C. proc. civ. în cazul judecării contestațiilor la executare sau a oricăror incidente apărute în procedura de executare silită. </w:t>
      </w:r>
    </w:p>
    <w:p w14:paraId="353D427D" w14:textId="77777777" w:rsidR="006E5006" w:rsidRPr="00A42163" w:rsidRDefault="006E5006" w:rsidP="006E5006">
      <w:pPr>
        <w:jc w:val="both"/>
        <w:rPr>
          <w:rFonts w:ascii="Arial Narrow" w:hAnsi="Arial Narrow"/>
        </w:rPr>
      </w:pPr>
      <w:r w:rsidRPr="00A42163">
        <w:rPr>
          <w:rFonts w:ascii="Arial Narrow" w:hAnsi="Arial Narrow"/>
        </w:rPr>
        <w:t>- se poate face aplicarea acestui articol privind îndreptarea neregularităților unui act de executare silită, în măsura în care efectele actului îndreptat nu sunt de natură a schimba cursul sau finalitatea procedurii de executare silită? Instanța învestită cu soluționarea unui incident procedural poate uza mai des de acest articol în loc să anuleze toate actele de executare emise de executorul judecătoresc?</w:t>
      </w:r>
    </w:p>
    <w:p w14:paraId="0A2C8A4F" w14:textId="77777777" w:rsidR="006E5006" w:rsidRPr="00A42163" w:rsidRDefault="006E5006" w:rsidP="006E5006">
      <w:pPr>
        <w:rPr>
          <w:rFonts w:ascii="Arial Narrow" w:hAnsi="Arial Narrow"/>
        </w:rPr>
      </w:pPr>
      <w:r w:rsidRPr="00A42163">
        <w:rPr>
          <w:rFonts w:ascii="Arial Narrow" w:hAnsi="Arial Narrow"/>
        </w:rPr>
        <w:t>5. Aspecte specifice privind executarea silită a hotărârilor pronunțate în litigiile de muncă</w:t>
      </w:r>
    </w:p>
    <w:p w14:paraId="69C2A475" w14:textId="77777777" w:rsidR="006E5006" w:rsidRPr="00A42163" w:rsidRDefault="006E5006" w:rsidP="006E5006">
      <w:pPr>
        <w:rPr>
          <w:rFonts w:ascii="Arial Narrow" w:hAnsi="Arial Narrow"/>
        </w:rPr>
      </w:pPr>
      <w:r w:rsidRPr="00A42163">
        <w:rPr>
          <w:rFonts w:ascii="Arial Narrow" w:hAnsi="Arial Narrow"/>
        </w:rPr>
        <w:lastRenderedPageBreak/>
        <w:t>6. Suspendarea executării silite</w:t>
      </w:r>
    </w:p>
    <w:p w14:paraId="6B2BF956" w14:textId="77777777" w:rsidR="006E5006" w:rsidRPr="00A42163" w:rsidRDefault="006E5006" w:rsidP="006E5006">
      <w:pPr>
        <w:rPr>
          <w:rFonts w:ascii="Arial Narrow" w:hAnsi="Arial Narrow"/>
        </w:rPr>
      </w:pPr>
      <w:r w:rsidRPr="00A42163">
        <w:rPr>
          <w:rFonts w:ascii="Arial Narrow" w:hAnsi="Arial Narrow"/>
        </w:rPr>
        <w:t>7. Formularea cererii de validare a popririi</w:t>
      </w:r>
    </w:p>
    <w:p w14:paraId="11095A79" w14:textId="77777777" w:rsidR="006E5006" w:rsidRPr="00A42163" w:rsidRDefault="006E5006" w:rsidP="006E5006">
      <w:pPr>
        <w:rPr>
          <w:rFonts w:ascii="Arial Narrow" w:hAnsi="Arial Narrow"/>
        </w:rPr>
      </w:pPr>
      <w:r w:rsidRPr="00A42163">
        <w:rPr>
          <w:rFonts w:ascii="Arial Narrow" w:hAnsi="Arial Narrow"/>
        </w:rPr>
        <w:t>8. Intervenția în executarea silită.</w:t>
      </w:r>
    </w:p>
    <w:p w14:paraId="2EE07BBF" w14:textId="77777777" w:rsidR="006E5006" w:rsidRPr="00A42163" w:rsidRDefault="006E5006" w:rsidP="006E5006">
      <w:pPr>
        <w:rPr>
          <w:rFonts w:ascii="Arial Narrow" w:hAnsi="Arial Narrow"/>
          <w:b/>
        </w:rPr>
      </w:pPr>
      <w:r w:rsidRPr="00A42163">
        <w:rPr>
          <w:rFonts w:ascii="Arial Narrow" w:hAnsi="Arial Narrow"/>
          <w:b/>
        </w:rPr>
        <w:t>Nicolae-Horia ŢIŢ:</w:t>
      </w:r>
    </w:p>
    <w:p w14:paraId="74F8132B" w14:textId="77777777" w:rsidR="006E5006" w:rsidRPr="00A42163" w:rsidRDefault="006E5006" w:rsidP="006E5006">
      <w:pPr>
        <w:pStyle w:val="ListParagraph"/>
        <w:numPr>
          <w:ilvl w:val="0"/>
          <w:numId w:val="13"/>
        </w:numPr>
        <w:tabs>
          <w:tab w:val="left" w:pos="180"/>
        </w:tabs>
        <w:spacing w:line="360" w:lineRule="auto"/>
        <w:ind w:hanging="720"/>
        <w:rPr>
          <w:rFonts w:ascii="Arial Narrow" w:hAnsi="Arial Narrow"/>
        </w:rPr>
      </w:pPr>
      <w:r w:rsidRPr="00A42163">
        <w:rPr>
          <w:rFonts w:ascii="Arial Narrow" w:hAnsi="Arial Narrow"/>
        </w:rPr>
        <w:t>Problema restituirii cauțiunii judiciare. Corelarea art. 1064 şi art.720 C.pr.civ.</w:t>
      </w:r>
    </w:p>
    <w:p w14:paraId="6C044F15" w14:textId="77777777" w:rsidR="006E5006" w:rsidRDefault="006E5006" w:rsidP="006E5006">
      <w:pPr>
        <w:pStyle w:val="ListParagraph"/>
        <w:numPr>
          <w:ilvl w:val="0"/>
          <w:numId w:val="13"/>
        </w:numPr>
        <w:tabs>
          <w:tab w:val="left" w:pos="180"/>
        </w:tabs>
        <w:spacing w:line="360" w:lineRule="auto"/>
        <w:ind w:hanging="720"/>
        <w:rPr>
          <w:rFonts w:ascii="Arial Narrow" w:hAnsi="Arial Narrow"/>
        </w:rPr>
      </w:pPr>
      <w:r w:rsidRPr="00A42163">
        <w:rPr>
          <w:rFonts w:ascii="Arial Narrow" w:hAnsi="Arial Narrow"/>
        </w:rPr>
        <w:t>În cadrul validării de poprire, ce apărări poate invoca terțul poprit?</w:t>
      </w:r>
    </w:p>
    <w:p w14:paraId="7C5AB935" w14:textId="77777777" w:rsidR="006E5006" w:rsidRPr="00A42163" w:rsidRDefault="006E5006" w:rsidP="006E5006">
      <w:pPr>
        <w:pStyle w:val="ListParagraph"/>
        <w:numPr>
          <w:ilvl w:val="0"/>
          <w:numId w:val="13"/>
        </w:numPr>
        <w:tabs>
          <w:tab w:val="left" w:pos="180"/>
        </w:tabs>
        <w:spacing w:line="360" w:lineRule="auto"/>
        <w:ind w:left="180" w:hanging="180"/>
        <w:jc w:val="both"/>
        <w:rPr>
          <w:rFonts w:ascii="Arial Narrow" w:hAnsi="Arial Narrow"/>
        </w:rPr>
      </w:pPr>
      <w:r w:rsidRPr="00A42163">
        <w:rPr>
          <w:rFonts w:ascii="Arial Narrow" w:hAnsi="Arial Narrow"/>
        </w:rPr>
        <w:t>Procedura validării popririi, în cazul în care terțul poprit are obligații de plăți succesive către debitor. Când se poate depune acțiunea privind validarea popririi? - în practică, unele instanțe au respins cererea de validare a popririi, depusă după un termen mai mare de o lună de la data înființării popririi, deși sumele urmărite erau venituri salariale, scadente lunar. În acest caz, terțul poprit a dat curs popririi o perioadă de timp, după care a sistat plățile fără temei legal.</w:t>
      </w:r>
    </w:p>
    <w:p w14:paraId="3F802BB4" w14:textId="77777777" w:rsidR="006E5006" w:rsidRPr="00A42163" w:rsidRDefault="006E5006" w:rsidP="006E5006">
      <w:pPr>
        <w:pStyle w:val="ListParagraph"/>
        <w:numPr>
          <w:ilvl w:val="0"/>
          <w:numId w:val="13"/>
        </w:numPr>
        <w:tabs>
          <w:tab w:val="left" w:pos="180"/>
        </w:tabs>
        <w:spacing w:line="360" w:lineRule="auto"/>
        <w:ind w:left="180" w:hanging="180"/>
        <w:jc w:val="both"/>
        <w:rPr>
          <w:rFonts w:ascii="Arial Narrow" w:hAnsi="Arial Narrow"/>
        </w:rPr>
      </w:pPr>
      <w:r w:rsidRPr="00A42163">
        <w:rPr>
          <w:rFonts w:ascii="Arial Narrow" w:hAnsi="Arial Narrow"/>
        </w:rPr>
        <w:t>Constatarea unei stări de fapt în condițiile art. 364 C. proc. civ. - având în vedere încadrarea în secțiunea dedicată cercetării procesului- subsecțiunea Probe – Asigurarea probelor în cadrul procesului civil, este sau nu necesară încheierea instanței pentru ca executorul judecătoresc să poată constata o stare de fapt? Este sau nu necesară această încheiere dacă textul de lege prevede faptul că partea interesată poate cere, atât înainte, cât și în timpul procesului acest lucru?</w:t>
      </w:r>
    </w:p>
    <w:p w14:paraId="33195F33" w14:textId="77777777" w:rsidR="006E5006" w:rsidRPr="00A42163" w:rsidRDefault="006E5006" w:rsidP="006E5006">
      <w:pPr>
        <w:pStyle w:val="ListParagraph"/>
        <w:numPr>
          <w:ilvl w:val="0"/>
          <w:numId w:val="13"/>
        </w:numPr>
        <w:tabs>
          <w:tab w:val="left" w:pos="180"/>
        </w:tabs>
        <w:spacing w:line="360" w:lineRule="auto"/>
        <w:ind w:left="270" w:hanging="180"/>
        <w:jc w:val="both"/>
        <w:rPr>
          <w:rFonts w:ascii="Arial Narrow" w:hAnsi="Arial Narrow"/>
        </w:rPr>
      </w:pPr>
      <w:r w:rsidRPr="00A42163">
        <w:rPr>
          <w:rFonts w:ascii="Arial Narrow" w:hAnsi="Arial Narrow"/>
        </w:rPr>
        <w:t>Aplicarea art. 717 alin. (2) C. proc. civ. – procedura de judecată a contestației la executare. - în ce măsură se aplică acest articol, având în vedere faptul că instanțele nu solicită niciodată copii de pe actele contestate din dosarul de executare silită, ci copia întregului dosar de executare silită. Având în vedere faptul că instanța solicită copia întregului dosar de executare silită, și nu doar copia tuturor actelor de executare silită, poate lua debitorul la cunoștință despre faptul că executorul judecătoresc a identificat un bun imobil (asupra căruia nu a efectuat încă acte de urmărire) și ulterior să înstrăineze acest bun sau să instituie sarcini asupra lui în dauna creditorului urmăritor? În ce măsură sunt relevante pentru soluționarea incidentului procedural adresele de interogare bunuri emise de instituțiile statului și răspunsurile acestora? Având în vedere dispozițiile art. 660 alin. (4) (secretul informațiilor primite), poate fi tras la răspundere executorul judecătoresc dacă alte persoane iau la cunoștință despre aceste informații din copia întregului dosar de executare depus la instanță?</w:t>
      </w:r>
    </w:p>
    <w:p w14:paraId="6F65F3F4" w14:textId="77777777" w:rsidR="006E5006" w:rsidRPr="00A42163" w:rsidRDefault="006E5006" w:rsidP="006E5006">
      <w:pPr>
        <w:pStyle w:val="ListParagraph"/>
        <w:numPr>
          <w:ilvl w:val="0"/>
          <w:numId w:val="13"/>
        </w:numPr>
        <w:tabs>
          <w:tab w:val="left" w:pos="180"/>
        </w:tabs>
        <w:spacing w:line="360" w:lineRule="auto"/>
        <w:ind w:left="180" w:hanging="180"/>
        <w:jc w:val="both"/>
        <w:rPr>
          <w:rFonts w:ascii="Arial Narrow" w:hAnsi="Arial Narrow"/>
        </w:rPr>
      </w:pPr>
      <w:r w:rsidRPr="00A42163">
        <w:rPr>
          <w:rFonts w:ascii="Arial Narrow" w:hAnsi="Arial Narrow"/>
        </w:rPr>
        <w:t>Titlurile executorii reprezentate de contractele de credit sau contractele de leasing. - având în vedere dispozițiile art. 628 alin. (2) C. proc. civ., cui incumbă obligația de a calcula dobânzile, penalitățile sau alte sume stipulate în titlul executoriu reprezentat de contractul de credit? Poate executorul judecătoresc să stabilească cuantumul acestor sume, având în vedere formulele de calcul complexe prevăzute în contractele de credit sau de leasing? Este suficient un extras de cont (pus la dispoziție de creditor) pentru stabilirea creanței și declanșarea executării silite?</w:t>
      </w:r>
    </w:p>
    <w:p w14:paraId="354CBBF8" w14:textId="77777777" w:rsidR="006E5006" w:rsidRPr="00A42163" w:rsidRDefault="006E5006" w:rsidP="006E5006">
      <w:pPr>
        <w:rPr>
          <w:rFonts w:ascii="Arial Narrow" w:hAnsi="Arial Narrow"/>
          <w:b/>
        </w:rPr>
      </w:pPr>
      <w:r w:rsidRPr="00A42163">
        <w:rPr>
          <w:rFonts w:ascii="Arial Narrow" w:hAnsi="Arial Narrow"/>
          <w:b/>
        </w:rPr>
        <w:t>Roxana STANCIU :</w:t>
      </w:r>
    </w:p>
    <w:p w14:paraId="5BD3FB53" w14:textId="77777777" w:rsidR="006E5006" w:rsidRPr="00A42163" w:rsidRDefault="006E5006" w:rsidP="006E5006">
      <w:pPr>
        <w:rPr>
          <w:rFonts w:ascii="Arial Narrow" w:hAnsi="Arial Narrow"/>
        </w:rPr>
      </w:pPr>
      <w:r w:rsidRPr="00A42163">
        <w:rPr>
          <w:rFonts w:ascii="Arial Narrow" w:hAnsi="Arial Narrow"/>
        </w:rPr>
        <w:t>1. Creditorii neurmăritori care intervin într-o executare începută de un alt creditor, pot formula contestaţie la executare cu privire la executarea în curs?</w:t>
      </w:r>
    </w:p>
    <w:p w14:paraId="6E5D7E02" w14:textId="77777777" w:rsidR="006E5006" w:rsidRPr="00A42163" w:rsidRDefault="006E5006" w:rsidP="006E5006">
      <w:pPr>
        <w:rPr>
          <w:rFonts w:ascii="Arial Narrow" w:hAnsi="Arial Narrow"/>
        </w:rPr>
      </w:pPr>
      <w:r w:rsidRPr="00A42163">
        <w:rPr>
          <w:rFonts w:ascii="Arial Narrow" w:hAnsi="Arial Narrow"/>
        </w:rPr>
        <w:t>2. Intervenția altor creditori în procedura executării silite:</w:t>
      </w:r>
    </w:p>
    <w:p w14:paraId="13B81149" w14:textId="77777777" w:rsidR="006E5006" w:rsidRPr="00A42163" w:rsidRDefault="006E5006" w:rsidP="006E5006">
      <w:pPr>
        <w:rPr>
          <w:rFonts w:ascii="Arial Narrow" w:hAnsi="Arial Narrow"/>
        </w:rPr>
      </w:pPr>
      <w:r w:rsidRPr="00A42163">
        <w:rPr>
          <w:rFonts w:ascii="Arial Narrow" w:hAnsi="Arial Narrow"/>
        </w:rPr>
        <w:lastRenderedPageBreak/>
        <w:t>a) necesitatea învestirii cu formulă executorie a titlurilor executorii (altele decât hotărârile judecătorești) anexate cererii de intervenție (având în vedere faptul că cererea de intervenție trebuie să fie făcută cu respectarea cerințelor prevăzute la art. 664 C. proc. civ.)</w:t>
      </w:r>
    </w:p>
    <w:p w14:paraId="177BC90E" w14:textId="77777777" w:rsidR="006E5006" w:rsidRPr="00A42163" w:rsidRDefault="006E5006" w:rsidP="006E5006">
      <w:pPr>
        <w:jc w:val="both"/>
        <w:rPr>
          <w:rFonts w:ascii="Arial Narrow" w:hAnsi="Arial Narrow"/>
        </w:rPr>
      </w:pPr>
      <w:r w:rsidRPr="00A42163">
        <w:rPr>
          <w:rFonts w:ascii="Arial Narrow" w:hAnsi="Arial Narrow"/>
        </w:rPr>
        <w:t>b) menținerea în Codul de procedură civilă republicat a formulării “depunere titluri”  - prevăzută în Codul de procedură civilă anterior la art. 563 alin. (1): “au depus și alți creditori titlurile lor” – și „înscrierea la distribuirea sumelor”, poate duce la concluzia că a fost preluat și conceptul acestor instituții în noul Cod de procedură civilă sau acest concept vechi a dispărut ca urmare a apariției conceptului de intervenție? În prezent, mai poate un creditor să-și depună titlul sau să se înscrie la distribuirea sumelor, altfel decât prin formularea unei cereri de intervenție? (din practică rezultă faptul că și în prezent există creditori care formulează adrese pentru depunerea titlurilor sau solicită înscrierea la distribuirea sumelor în calitate de creditori interesați, conform art. 870 C. proc.civ., fără a parcurge alte fo</w:t>
      </w:r>
      <w:bookmarkStart w:id="0" w:name="_GoBack"/>
      <w:bookmarkEnd w:id="0"/>
      <w:r w:rsidRPr="00A42163">
        <w:rPr>
          <w:rFonts w:ascii="Arial Narrow" w:hAnsi="Arial Narrow"/>
        </w:rPr>
        <w:t>rmalități).</w:t>
      </w:r>
    </w:p>
    <w:p w14:paraId="02DCE605" w14:textId="77777777" w:rsidR="006E5006" w:rsidRPr="00A42163" w:rsidRDefault="006E5006" w:rsidP="006E5006">
      <w:pPr>
        <w:jc w:val="both"/>
        <w:rPr>
          <w:rFonts w:ascii="Arial Narrow" w:hAnsi="Arial Narrow"/>
        </w:rPr>
      </w:pPr>
      <w:r w:rsidRPr="00A42163">
        <w:rPr>
          <w:rFonts w:ascii="Arial Narrow" w:hAnsi="Arial Narrow"/>
        </w:rPr>
        <w:t>c) situația creditorului fiscal care formulează cerere de intervenție, raportat la dispozițiile art. 623 C.proc.civ. (interdicția executorului judecătoresc de a executa creanțe fiscale), în contradicție cu conceptul de intervenție. Dacă acestui tip de creditor i se încuviințează intervenția, potrivit art. 695 alin. (1) C. proc. civ., poate “solicita efectuarea unor acte de executare silită, dacă este cazul”? În situația în care creditorul urmăritor ar renunța la executare, creditorul fiscal intervenient ar rămâne unicul creditor al procedurii execuționale.</w:t>
      </w:r>
    </w:p>
    <w:p w14:paraId="6F710FAD" w14:textId="77777777" w:rsidR="006E5006" w:rsidRPr="00A42163" w:rsidRDefault="006E5006" w:rsidP="006E5006">
      <w:pPr>
        <w:jc w:val="both"/>
        <w:rPr>
          <w:rFonts w:ascii="Arial Narrow" w:hAnsi="Arial Narrow"/>
        </w:rPr>
      </w:pPr>
      <w:r w:rsidRPr="00A42163">
        <w:rPr>
          <w:rFonts w:ascii="Arial Narrow" w:hAnsi="Arial Narrow"/>
        </w:rPr>
        <w:t>3.Adjudecarea în contul creanței de către creditorul ipotecar. În ce măsură mai este necesar proiectul de distribuire a sumelor prevăzut de art. 874 C. proc. civ., având în vedere că nu mai există sume de bani ce pot face obiectul distribuirii?</w:t>
      </w:r>
    </w:p>
    <w:p w14:paraId="5F735317" w14:textId="77777777" w:rsidR="006E5006" w:rsidRPr="00A42163" w:rsidRDefault="006E5006" w:rsidP="006E5006">
      <w:pPr>
        <w:jc w:val="both"/>
        <w:rPr>
          <w:rFonts w:ascii="Arial Narrow" w:hAnsi="Arial Narrow"/>
        </w:rPr>
      </w:pPr>
      <w:r w:rsidRPr="00A42163">
        <w:rPr>
          <w:rFonts w:ascii="Arial Narrow" w:hAnsi="Arial Narrow"/>
        </w:rPr>
        <w:t>4.Situația dosarului de executare silită aflat pe rolul unui executor judecătoresc, în condițiile în care creditorul depune cerere de intervenție (în baza aceluiași titlu executoriu) la un alt executor judecătoresc. Ce se întâmplă cu dosarul inițial de executare? Mai poate continua executarea silită în primul dosar, din moment ce creditorul poate solicita să efectueze acte de executare în dosarul în care a depus cerere de intervenție? Poate constitui renunțare tacită la executarea silită din primul dosar execuțional?</w:t>
      </w:r>
    </w:p>
    <w:p w14:paraId="664771D8" w14:textId="77777777" w:rsidR="006E5006" w:rsidRPr="00A42163" w:rsidRDefault="006E5006" w:rsidP="006E5006">
      <w:pPr>
        <w:jc w:val="both"/>
        <w:rPr>
          <w:rFonts w:ascii="Arial Narrow" w:hAnsi="Arial Narrow"/>
        </w:rPr>
      </w:pPr>
      <w:r w:rsidRPr="00A42163">
        <w:rPr>
          <w:rFonts w:ascii="Arial Narrow" w:hAnsi="Arial Narrow"/>
        </w:rPr>
        <w:t>5. Aplicarea dispozițiilor art. 717 alin. (4) C. proc. civ. - în ce măsură ar fi de folos, pentru soluționarea unei contestații, o notă de relații și explicații scrise de la executorul judecătoresc? Depunerea acestei note de relații din oficiu, de către executorul judecătoresc, ar fi utilă instanței? Poate utiliza mai des instanța această dispoziție legală?</w:t>
      </w:r>
    </w:p>
    <w:p w14:paraId="1EC9815F" w14:textId="77777777" w:rsidR="004E2F5B" w:rsidRPr="00EF645B" w:rsidRDefault="004E2F5B" w:rsidP="004E2F5B">
      <w:pPr>
        <w:spacing w:line="360" w:lineRule="auto"/>
        <w:rPr>
          <w:rFonts w:ascii="Arial Narrow" w:hAnsi="Arial Narrow"/>
          <w:b/>
          <w:color w:val="FF0000"/>
          <w:sz w:val="24"/>
          <w:szCs w:val="24"/>
        </w:rPr>
      </w:pPr>
      <w:r w:rsidRPr="00EF645B">
        <w:rPr>
          <w:rFonts w:ascii="Arial Narrow" w:hAnsi="Arial Narrow"/>
          <w:b/>
          <w:color w:val="FF0000"/>
          <w:sz w:val="24"/>
          <w:szCs w:val="24"/>
        </w:rPr>
        <w:t>PRECIZĂRI ORGANIZATORICE IMPORTANTE:</w:t>
      </w:r>
    </w:p>
    <w:p w14:paraId="3374CFB0" w14:textId="77777777" w:rsidR="004E2F5B" w:rsidRPr="002E51C7" w:rsidRDefault="004E2F5B" w:rsidP="004E2F5B">
      <w:pPr>
        <w:numPr>
          <w:ilvl w:val="0"/>
          <w:numId w:val="9"/>
        </w:numPr>
        <w:tabs>
          <w:tab w:val="clear" w:pos="720"/>
        </w:tabs>
        <w:spacing w:after="0" w:line="360" w:lineRule="auto"/>
        <w:ind w:left="0" w:firstLine="0"/>
        <w:jc w:val="both"/>
        <w:rPr>
          <w:rFonts w:ascii="Arial Narrow" w:hAnsi="Arial Narrow"/>
          <w:color w:val="003366"/>
          <w:lang w:val="it-IT"/>
        </w:rPr>
      </w:pPr>
      <w:r w:rsidRPr="002E51C7">
        <w:rPr>
          <w:rFonts w:ascii="Arial Narrow" w:hAnsi="Arial Narrow"/>
          <w:b/>
          <w:bCs/>
          <w:color w:val="003366"/>
          <w:u w:val="single"/>
          <w:lang w:val="it-IT"/>
        </w:rPr>
        <w:t>obligativitatea ca participantii sa anunte cu cel putin 24 de ore inainte de data desfasurarii evenimentului, daca nu vor mai participa</w:t>
      </w:r>
      <w:r w:rsidRPr="002E51C7">
        <w:rPr>
          <w:rFonts w:ascii="Arial Narrow" w:hAnsi="Arial Narrow"/>
          <w:color w:val="003366"/>
          <w:lang w:val="it-IT"/>
        </w:rPr>
        <w:t xml:space="preserve">, </w:t>
      </w:r>
      <w:r w:rsidRPr="002E51C7">
        <w:rPr>
          <w:rFonts w:ascii="Arial Narrow" w:hAnsi="Arial Narrow"/>
          <w:b/>
          <w:bCs/>
          <w:color w:val="003366"/>
          <w:lang w:val="it-IT"/>
        </w:rPr>
        <w:t>din motive obiective, pentru a putea anula serviciile solicitate</w:t>
      </w:r>
      <w:r w:rsidRPr="002E51C7">
        <w:rPr>
          <w:rFonts w:ascii="Arial Narrow" w:hAnsi="Arial Narrow"/>
          <w:color w:val="003366"/>
          <w:lang w:val="it-IT"/>
        </w:rPr>
        <w:t xml:space="preserve"> (mese de pranz, pauze de cafea si cazare); </w:t>
      </w:r>
      <w:r w:rsidRPr="002E51C7">
        <w:rPr>
          <w:rFonts w:ascii="Arial Narrow" w:hAnsi="Arial Narrow"/>
          <w:i/>
          <w:iCs/>
          <w:color w:val="003366"/>
          <w:lang w:val="it-IT"/>
        </w:rPr>
        <w:t>pentru seminariile care incep in ziua de luni, participantii vor anunta imposibilitatea de participare in cursul zilei de vineri a saptamanii imediat anterioare respectivului seminar</w:t>
      </w:r>
      <w:r w:rsidRPr="002E51C7">
        <w:rPr>
          <w:rFonts w:ascii="Arial Narrow" w:hAnsi="Arial Narrow"/>
          <w:color w:val="003366"/>
          <w:lang w:val="it-IT"/>
        </w:rPr>
        <w:t xml:space="preserve">; </w:t>
      </w:r>
    </w:p>
    <w:p w14:paraId="5EDD2BD7" w14:textId="3A5BAF9C" w:rsidR="004E2F5B" w:rsidRPr="00751D90" w:rsidRDefault="004E2F5B" w:rsidP="004E2F5B">
      <w:pPr>
        <w:numPr>
          <w:ilvl w:val="0"/>
          <w:numId w:val="9"/>
        </w:numPr>
        <w:tabs>
          <w:tab w:val="clear" w:pos="720"/>
        </w:tabs>
        <w:spacing w:after="0" w:line="360" w:lineRule="auto"/>
        <w:ind w:left="0" w:firstLine="0"/>
        <w:jc w:val="both"/>
        <w:rPr>
          <w:rFonts w:ascii="Arial Narrow" w:hAnsi="Arial Narrow"/>
          <w:b/>
          <w:bCs/>
          <w:color w:val="003366"/>
          <w:lang w:val="it-IT"/>
        </w:rPr>
      </w:pPr>
      <w:r w:rsidRPr="00751D90">
        <w:rPr>
          <w:rFonts w:ascii="Arial Narrow" w:hAnsi="Arial Narrow"/>
          <w:b/>
          <w:bCs/>
          <w:color w:val="003366"/>
          <w:lang w:val="it-IT"/>
        </w:rPr>
        <w:t xml:space="preserve">in eventualitatea in care participantii nu anunta faptul ca nu vor participa, cu minim 24 de ore inainte de desfasurarea evenimentului, acestora </w:t>
      </w:r>
      <w:r w:rsidRPr="00751D90">
        <w:rPr>
          <w:rFonts w:ascii="Arial Narrow" w:hAnsi="Arial Narrow"/>
          <w:b/>
          <w:bCs/>
          <w:color w:val="003366"/>
          <w:u w:val="single"/>
          <w:lang w:val="it-IT"/>
        </w:rPr>
        <w:t>li se vor imputa costurile aferente</w:t>
      </w:r>
      <w:r w:rsidRPr="00751D90">
        <w:rPr>
          <w:rFonts w:ascii="Arial Narrow" w:hAnsi="Arial Narrow"/>
          <w:color w:val="003366"/>
          <w:lang w:val="it-IT"/>
        </w:rPr>
        <w:t xml:space="preserve"> (respectiv contravaloarea unei nopti de cazare-daca s-a solicitat cazare, unui pranz-daca s-a solicitat masa de pranz si a 2 pauze de cafea aferente zilei de seminar)</w:t>
      </w:r>
      <w:r w:rsidRPr="00751D90">
        <w:rPr>
          <w:rFonts w:ascii="Arial Narrow" w:hAnsi="Arial Narrow"/>
          <w:color w:val="003366"/>
        </w:rPr>
        <w:t>;</w:t>
      </w:r>
    </w:p>
    <w:p w14:paraId="65E7BD88" w14:textId="77777777" w:rsidR="004E2F5B" w:rsidRPr="002E51C7" w:rsidRDefault="004E2F5B" w:rsidP="004E2F5B">
      <w:pPr>
        <w:numPr>
          <w:ilvl w:val="0"/>
          <w:numId w:val="9"/>
        </w:numPr>
        <w:tabs>
          <w:tab w:val="clear" w:pos="720"/>
        </w:tabs>
        <w:spacing w:after="0" w:line="360" w:lineRule="auto"/>
        <w:ind w:left="0" w:firstLine="0"/>
        <w:jc w:val="both"/>
        <w:rPr>
          <w:rFonts w:ascii="Arial Narrow" w:hAnsi="Arial Narrow"/>
          <w:b/>
          <w:color w:val="003366"/>
        </w:rPr>
      </w:pPr>
      <w:r w:rsidRPr="002E51C7">
        <w:rPr>
          <w:rFonts w:ascii="Arial Narrow" w:hAnsi="Arial Narrow"/>
          <w:b/>
          <w:bCs/>
          <w:color w:val="003366"/>
          <w:u w:val="single"/>
          <w:lang w:val="it-IT"/>
        </w:rPr>
        <w:t>obligativitatea ca participantii sa semneze tabelul de prezenta</w:t>
      </w:r>
      <w:r w:rsidRPr="002E51C7">
        <w:rPr>
          <w:rFonts w:ascii="Arial Narrow" w:hAnsi="Arial Narrow"/>
          <w:b/>
          <w:bCs/>
          <w:color w:val="003366"/>
          <w:lang w:val="it-IT"/>
        </w:rPr>
        <w:t xml:space="preserve"> pentru fiecare zi de desfasurare a seminarului in care au confirmat participarea, aceasta fiind </w:t>
      </w:r>
      <w:r w:rsidRPr="002E51C7">
        <w:rPr>
          <w:rFonts w:ascii="Arial Narrow" w:hAnsi="Arial Narrow"/>
          <w:b/>
          <w:bCs/>
          <w:color w:val="003366"/>
          <w:u w:val="single"/>
          <w:lang w:val="it-IT"/>
        </w:rPr>
        <w:t>singura modalitate de atestare a prezentei la eveniment</w:t>
      </w:r>
      <w:r w:rsidRPr="002E51C7">
        <w:rPr>
          <w:rFonts w:ascii="Arial Narrow" w:hAnsi="Arial Narrow"/>
          <w:b/>
          <w:bCs/>
          <w:color w:val="003366"/>
          <w:lang w:val="it-IT"/>
        </w:rPr>
        <w:t>.</w:t>
      </w:r>
    </w:p>
    <w:p w14:paraId="3A11CAA9" w14:textId="77777777" w:rsidR="00CC3B0C" w:rsidRPr="007E7695" w:rsidRDefault="00CC3B0C" w:rsidP="00FE3D39">
      <w:pPr>
        <w:rPr>
          <w:rFonts w:ascii="Arial Narrow" w:hAnsi="Arial Narrow"/>
        </w:rPr>
      </w:pPr>
    </w:p>
    <w:sectPr w:rsidR="00CC3B0C" w:rsidRPr="007E7695" w:rsidSect="00751D90">
      <w:headerReference w:type="default" r:id="rId7"/>
      <w:footerReference w:type="default" r:id="rId8"/>
      <w:pgSz w:w="11906" w:h="16838" w:code="9"/>
      <w:pgMar w:top="908" w:right="1016" w:bottom="851" w:left="990"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7B60C" w14:textId="77777777" w:rsidR="000C4BBB" w:rsidRDefault="000C4BBB">
      <w:pPr>
        <w:spacing w:after="0" w:line="240" w:lineRule="auto"/>
      </w:pPr>
      <w:r>
        <w:separator/>
      </w:r>
    </w:p>
  </w:endnote>
  <w:endnote w:type="continuationSeparator" w:id="0">
    <w:p w14:paraId="67281B15" w14:textId="77777777" w:rsidR="000C4BBB" w:rsidRDefault="000C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7309" w14:textId="77777777" w:rsidR="007D1138" w:rsidRDefault="000C4BBB" w:rsidP="00F00F6A">
    <w:pPr>
      <w:pStyle w:val="Header"/>
      <w:jc w:val="center"/>
      <w:rPr>
        <w:rFonts w:ascii="Arial" w:hAnsi="Arial" w:cs="Arial"/>
        <w:i/>
        <w:sz w:val="16"/>
        <w:szCs w:val="16"/>
      </w:rPr>
    </w:pPr>
  </w:p>
  <w:p w14:paraId="5C5D1EE6" w14:textId="77777777" w:rsidR="008C7FCD" w:rsidRPr="006A2332" w:rsidRDefault="00DD6575" w:rsidP="008C7FCD">
    <w:pPr>
      <w:shd w:val="clear" w:color="auto" w:fill="FF0000"/>
      <w:rPr>
        <w:rFonts w:ascii="Arial Narrow" w:hAnsi="Arial Narrow" w:cs="Arial"/>
        <w:color w:val="FFFFFF"/>
        <w:sz w:val="18"/>
        <w:szCs w:val="18"/>
      </w:rPr>
    </w:pPr>
    <w:r w:rsidRPr="006A2332">
      <w:rPr>
        <w:rFonts w:ascii="Arial Narrow" w:hAnsi="Arial Narrow"/>
        <w:noProof/>
        <w:lang w:val="en-US"/>
      </w:rPr>
      <w:drawing>
        <wp:anchor distT="0" distB="0" distL="114300" distR="114300" simplePos="0" relativeHeight="251659264" behindDoc="0" locked="0" layoutInCell="1" allowOverlap="1" wp14:anchorId="1C47042E" wp14:editId="6B781181">
          <wp:simplePos x="0" y="0"/>
          <wp:positionH relativeFrom="margin">
            <wp:align>right</wp:align>
          </wp:positionH>
          <wp:positionV relativeFrom="paragraph">
            <wp:posOffset>259080</wp:posOffset>
          </wp:positionV>
          <wp:extent cx="739472" cy="578152"/>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472" cy="578152"/>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Pr="006A2332">
        <w:rPr>
          <w:rStyle w:val="Hyperlink"/>
          <w:rFonts w:ascii="Arial Narrow" w:hAnsi="Arial Narrow" w:cs="Arial"/>
          <w:b/>
          <w:color w:val="FFFFFF"/>
          <w:sz w:val="18"/>
          <w:szCs w:val="18"/>
        </w:rPr>
        <w:t>www.csm1909.ro</w:t>
      </w:r>
    </w:hyperlink>
    <w:r>
      <w:rPr>
        <w:rFonts w:ascii="Arial Narrow" w:hAnsi="Arial Narrow" w:cs="Arial"/>
        <w:b/>
        <w:color w:val="FFFFFF"/>
        <w:sz w:val="18"/>
        <w:szCs w:val="18"/>
      </w:rPr>
      <w:t xml:space="preserve">                                                                                                                                                                             </w:t>
    </w:r>
    <w:hyperlink r:id="rId3" w:history="1">
      <w:r w:rsidRPr="006A2332">
        <w:rPr>
          <w:rStyle w:val="Hyperlink"/>
          <w:rFonts w:ascii="Arial Narrow" w:hAnsi="Arial Narrow" w:cs="Arial"/>
          <w:b/>
          <w:color w:val="FFFFFF"/>
          <w:sz w:val="18"/>
          <w:szCs w:val="18"/>
        </w:rPr>
        <w:t>www.inm-lex.ro</w:t>
      </w:r>
    </w:hyperlink>
    <w:r w:rsidRPr="006A2332">
      <w:rPr>
        <w:rFonts w:ascii="Arial Narrow" w:hAnsi="Arial Narrow" w:cs="Arial"/>
        <w:b/>
        <w:color w:val="FFFFFF"/>
        <w:sz w:val="18"/>
        <w:szCs w:val="18"/>
      </w:rPr>
      <w:t xml:space="preserve">                                                                                                                                                                                                                                                                                                           </w:t>
    </w:r>
  </w:p>
  <w:p w14:paraId="7B773657" w14:textId="77777777" w:rsidR="008C7FCD" w:rsidRDefault="00DD6575" w:rsidP="008C7FCD">
    <w:pPr>
      <w:rPr>
        <w:rFonts w:ascii="Arial Narrow" w:hAnsi="Arial Narrow" w:cs="Arial"/>
        <w:i/>
        <w:sz w:val="18"/>
        <w:szCs w:val="18"/>
      </w:rPr>
    </w:pPr>
    <w:r w:rsidRPr="006A2332">
      <w:rPr>
        <w:rFonts w:ascii="Arial Narrow" w:hAnsi="Arial Narrow" w:cs="Arial"/>
        <w:noProof/>
        <w:sz w:val="18"/>
        <w:szCs w:val="18"/>
        <w:lang w:val="en-US"/>
      </w:rPr>
      <w:drawing>
        <wp:anchor distT="0" distB="0" distL="114300" distR="114300" simplePos="0" relativeHeight="251660288" behindDoc="0" locked="0" layoutInCell="1" allowOverlap="0" wp14:anchorId="784475ED" wp14:editId="756CECDF">
          <wp:simplePos x="0" y="0"/>
          <wp:positionH relativeFrom="margin">
            <wp:align>left</wp:align>
          </wp:positionH>
          <wp:positionV relativeFrom="paragraph">
            <wp:posOffset>6985</wp:posOffset>
          </wp:positionV>
          <wp:extent cx="799142" cy="675861"/>
          <wp:effectExtent l="0" t="0" r="1270" b="0"/>
          <wp:wrapNone/>
          <wp:docPr id="18" name="Picture 18"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9142" cy="6758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CB12D" w14:textId="77777777" w:rsidR="008C7FCD" w:rsidRDefault="000C4BBB" w:rsidP="008C7FCD">
    <w:pPr>
      <w:pStyle w:val="Header"/>
      <w:jc w:val="center"/>
      <w:rPr>
        <w:rFonts w:ascii="Arial Narrow" w:hAnsi="Arial Narrow" w:cs="Arial"/>
        <w:i/>
        <w:sz w:val="18"/>
        <w:szCs w:val="18"/>
      </w:rPr>
    </w:pPr>
  </w:p>
  <w:p w14:paraId="0FD5D1B5" w14:textId="77777777" w:rsidR="008C7FCD" w:rsidRDefault="000C4BBB" w:rsidP="008C7FCD">
    <w:pPr>
      <w:pStyle w:val="Header"/>
      <w:jc w:val="center"/>
      <w:rPr>
        <w:rFonts w:ascii="Arial Narrow" w:hAnsi="Arial Narrow" w:cs="Arial"/>
        <w:i/>
        <w:sz w:val="18"/>
        <w:szCs w:val="18"/>
      </w:rPr>
    </w:pPr>
  </w:p>
  <w:p w14:paraId="18DAD5BD" w14:textId="77777777" w:rsidR="008C7FCD" w:rsidRDefault="000C4BBB" w:rsidP="008C7FCD">
    <w:pPr>
      <w:pStyle w:val="Header"/>
      <w:jc w:val="center"/>
      <w:rPr>
        <w:rFonts w:ascii="Arial Narrow" w:hAnsi="Arial Narrow" w:cs="Arial"/>
        <w:i/>
        <w:sz w:val="18"/>
        <w:szCs w:val="18"/>
      </w:rPr>
    </w:pPr>
  </w:p>
  <w:p w14:paraId="1E4663FE" w14:textId="77777777" w:rsidR="008C7FCD" w:rsidRPr="006A2332" w:rsidRDefault="00DD6575" w:rsidP="008C7FCD">
    <w:pPr>
      <w:pStyle w:val="Header"/>
      <w:jc w:val="center"/>
      <w:rPr>
        <w:rFonts w:ascii="Arial Narrow" w:hAnsi="Arial Narrow" w:cs="Arial"/>
        <w:i/>
        <w:sz w:val="18"/>
        <w:szCs w:val="18"/>
      </w:rPr>
    </w:pPr>
    <w:r w:rsidRPr="006A2332">
      <w:rPr>
        <w:rFonts w:ascii="Arial Narrow" w:hAnsi="Arial Narrow" w:cs="Arial"/>
        <w:i/>
        <w:sz w:val="18"/>
        <w:szCs w:val="18"/>
      </w:rPr>
      <w:t>Proiect co-finanţat printr-un grant din partea Elveţiei prin intermediul Contribuţiei Elveţiene pentru Uniunea Europeană extinsă</w:t>
    </w:r>
  </w:p>
  <w:p w14:paraId="0D76C0D2" w14:textId="77777777" w:rsidR="00E0215B" w:rsidRDefault="000C4BBB" w:rsidP="00E0215B">
    <w:pPr>
      <w:pStyle w:val="Header"/>
      <w:rPr>
        <w:rFonts w:ascii="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330EF" w14:textId="77777777" w:rsidR="000C4BBB" w:rsidRDefault="000C4BBB">
      <w:pPr>
        <w:spacing w:after="0" w:line="240" w:lineRule="auto"/>
      </w:pPr>
      <w:r>
        <w:separator/>
      </w:r>
    </w:p>
  </w:footnote>
  <w:footnote w:type="continuationSeparator" w:id="0">
    <w:p w14:paraId="1AD2CBCE" w14:textId="77777777" w:rsidR="000C4BBB" w:rsidRDefault="000C4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ABDF" w14:textId="77777777" w:rsidR="00E32D19" w:rsidRDefault="00DD6575" w:rsidP="00E0215B">
    <w:pPr>
      <w:pStyle w:val="Header"/>
      <w:jc w:val="center"/>
    </w:pPr>
    <w:r w:rsidRPr="008E1286">
      <w:rPr>
        <w:noProof/>
        <w:lang w:val="en-US"/>
      </w:rPr>
      <w:drawing>
        <wp:inline distT="0" distB="0" distL="0" distR="0" wp14:anchorId="52CA41C6" wp14:editId="344A2A56">
          <wp:extent cx="1571625" cy="769905"/>
          <wp:effectExtent l="0" t="0" r="0" b="0"/>
          <wp:docPr id="16" name="Picture 1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321" cy="7893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82E"/>
    <w:multiLevelType w:val="hybridMultilevel"/>
    <w:tmpl w:val="AF9C72EE"/>
    <w:lvl w:ilvl="0" w:tplc="6F14BCD4">
      <w:start w:val="1"/>
      <w:numFmt w:val="decimal"/>
      <w:lvlText w:val="(%1)"/>
      <w:lvlJc w:val="left"/>
      <w:pPr>
        <w:ind w:left="1080" w:hanging="360"/>
      </w:pPr>
      <w:rPr>
        <w:rFonts w:cs="Times New Roman"/>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 w15:restartNumberingAfterBreak="0">
    <w:nsid w:val="12127AF2"/>
    <w:multiLevelType w:val="hybridMultilevel"/>
    <w:tmpl w:val="14CA0C68"/>
    <w:lvl w:ilvl="0" w:tplc="C53E938E">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 w15:restartNumberingAfterBreak="0">
    <w:nsid w:val="230F2AA4"/>
    <w:multiLevelType w:val="hybridMultilevel"/>
    <w:tmpl w:val="1FF20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C40E5"/>
    <w:multiLevelType w:val="hybridMultilevel"/>
    <w:tmpl w:val="4670AE8A"/>
    <w:lvl w:ilvl="0" w:tplc="DB8AE22C">
      <w:start w:val="1"/>
      <w:numFmt w:val="upperRoman"/>
      <w:lvlText w:val="%1."/>
      <w:lvlJc w:val="left"/>
      <w:pPr>
        <w:ind w:left="1440" w:hanging="720"/>
      </w:pPr>
      <w:rPr>
        <w:rFonts w:cs="Times New Roman"/>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4" w15:restartNumberingAfterBreak="0">
    <w:nsid w:val="2C42227A"/>
    <w:multiLevelType w:val="hybridMultilevel"/>
    <w:tmpl w:val="837CA97E"/>
    <w:lvl w:ilvl="0" w:tplc="00F05B50">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2F825C45"/>
    <w:multiLevelType w:val="hybridMultilevel"/>
    <w:tmpl w:val="04F0E1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48930B9"/>
    <w:multiLevelType w:val="hybridMultilevel"/>
    <w:tmpl w:val="BBB6DB4E"/>
    <w:lvl w:ilvl="0" w:tplc="47BEBAEE">
      <w:start w:val="1"/>
      <w:numFmt w:val="decimal"/>
      <w:lvlText w:val="(%1)"/>
      <w:lvlJc w:val="left"/>
      <w:pPr>
        <w:ind w:left="1070" w:hanging="360"/>
      </w:pPr>
      <w:rPr>
        <w:b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15:restartNumberingAfterBreak="0">
    <w:nsid w:val="353E5949"/>
    <w:multiLevelType w:val="hybridMultilevel"/>
    <w:tmpl w:val="090A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A189A"/>
    <w:multiLevelType w:val="hybridMultilevel"/>
    <w:tmpl w:val="E6BEBFFC"/>
    <w:lvl w:ilvl="0" w:tplc="B8F07E76">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9" w15:restartNumberingAfterBreak="0">
    <w:nsid w:val="59BF30BB"/>
    <w:multiLevelType w:val="hybridMultilevel"/>
    <w:tmpl w:val="0D7816A8"/>
    <w:lvl w:ilvl="0" w:tplc="C4464FC8">
      <w:start w:val="3"/>
      <w:numFmt w:val="bullet"/>
      <w:lvlText w:val="-"/>
      <w:lvlJc w:val="left"/>
      <w:pPr>
        <w:tabs>
          <w:tab w:val="num" w:pos="720"/>
        </w:tabs>
        <w:ind w:left="720" w:hanging="360"/>
      </w:pPr>
      <w:rPr>
        <w:rFonts w:ascii="Bookman Old Style" w:eastAsia="Times New Roman" w:hAnsi="Bookman Old Styl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2471551"/>
    <w:multiLevelType w:val="hybridMultilevel"/>
    <w:tmpl w:val="85E6522C"/>
    <w:lvl w:ilvl="0" w:tplc="B1BAD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C017C"/>
    <w:multiLevelType w:val="hybridMultilevel"/>
    <w:tmpl w:val="008E86BE"/>
    <w:lvl w:ilvl="0" w:tplc="9466BB46">
      <w:start w:val="1"/>
      <w:numFmt w:val="decimal"/>
      <w:lvlText w:val="(%1)"/>
      <w:lvlJc w:val="left"/>
      <w:pPr>
        <w:ind w:left="5039" w:hanging="360"/>
      </w:pPr>
      <w:rPr>
        <w:b w:val="0"/>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75"/>
    <w:rsid w:val="00086188"/>
    <w:rsid w:val="000C4BBB"/>
    <w:rsid w:val="000C5A3E"/>
    <w:rsid w:val="00197BE0"/>
    <w:rsid w:val="001B27CF"/>
    <w:rsid w:val="00223060"/>
    <w:rsid w:val="00223F0A"/>
    <w:rsid w:val="002530EE"/>
    <w:rsid w:val="002E51C7"/>
    <w:rsid w:val="002F336F"/>
    <w:rsid w:val="00310E9D"/>
    <w:rsid w:val="003823C7"/>
    <w:rsid w:val="00464B51"/>
    <w:rsid w:val="004C1AFA"/>
    <w:rsid w:val="004D4BC0"/>
    <w:rsid w:val="004E2F5B"/>
    <w:rsid w:val="004F7A1E"/>
    <w:rsid w:val="005A6900"/>
    <w:rsid w:val="005A79CF"/>
    <w:rsid w:val="005C3854"/>
    <w:rsid w:val="00630548"/>
    <w:rsid w:val="00646E01"/>
    <w:rsid w:val="00690BF3"/>
    <w:rsid w:val="00692CFF"/>
    <w:rsid w:val="006C3542"/>
    <w:rsid w:val="006E5006"/>
    <w:rsid w:val="0073668A"/>
    <w:rsid w:val="00751D90"/>
    <w:rsid w:val="007D167F"/>
    <w:rsid w:val="007E5642"/>
    <w:rsid w:val="007E7695"/>
    <w:rsid w:val="008212E1"/>
    <w:rsid w:val="00842D90"/>
    <w:rsid w:val="00863280"/>
    <w:rsid w:val="00876384"/>
    <w:rsid w:val="008B24F3"/>
    <w:rsid w:val="008E48A7"/>
    <w:rsid w:val="008F2EC9"/>
    <w:rsid w:val="009222C4"/>
    <w:rsid w:val="00980181"/>
    <w:rsid w:val="009B4E42"/>
    <w:rsid w:val="009C46A5"/>
    <w:rsid w:val="009C7AFE"/>
    <w:rsid w:val="00A77B8A"/>
    <w:rsid w:val="00A96980"/>
    <w:rsid w:val="00B17DF6"/>
    <w:rsid w:val="00B8776A"/>
    <w:rsid w:val="00BE3E33"/>
    <w:rsid w:val="00C20798"/>
    <w:rsid w:val="00C37726"/>
    <w:rsid w:val="00C65986"/>
    <w:rsid w:val="00C7679B"/>
    <w:rsid w:val="00C9438F"/>
    <w:rsid w:val="00CB1429"/>
    <w:rsid w:val="00CC039D"/>
    <w:rsid w:val="00CC3B0C"/>
    <w:rsid w:val="00D03D9F"/>
    <w:rsid w:val="00DA6DA5"/>
    <w:rsid w:val="00DD6575"/>
    <w:rsid w:val="00DF5A92"/>
    <w:rsid w:val="00E22266"/>
    <w:rsid w:val="00E24AAE"/>
    <w:rsid w:val="00ED333C"/>
    <w:rsid w:val="00EF645B"/>
    <w:rsid w:val="00F45151"/>
    <w:rsid w:val="00F51269"/>
    <w:rsid w:val="00F663C8"/>
    <w:rsid w:val="00FA7CF2"/>
    <w:rsid w:val="00FE3833"/>
    <w:rsid w:val="00FE3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EBE4"/>
  <w15:chartTrackingRefBased/>
  <w15:docId w15:val="{CDB1EDE5-4683-4800-B8A3-D98D0807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5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65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6575"/>
  </w:style>
  <w:style w:type="character" w:styleId="Hyperlink">
    <w:name w:val="Hyperlink"/>
    <w:uiPriority w:val="99"/>
    <w:unhideWhenUsed/>
    <w:rsid w:val="00DD6575"/>
    <w:rPr>
      <w:color w:val="0000FF"/>
      <w:u w:val="single"/>
    </w:rPr>
  </w:style>
  <w:style w:type="character" w:styleId="CommentReference">
    <w:name w:val="annotation reference"/>
    <w:basedOn w:val="DefaultParagraphFont"/>
    <w:uiPriority w:val="99"/>
    <w:semiHidden/>
    <w:unhideWhenUsed/>
    <w:rsid w:val="00DD6575"/>
    <w:rPr>
      <w:sz w:val="16"/>
      <w:szCs w:val="16"/>
    </w:rPr>
  </w:style>
  <w:style w:type="paragraph" w:styleId="CommentText">
    <w:name w:val="annotation text"/>
    <w:basedOn w:val="Normal"/>
    <w:link w:val="CommentTextChar"/>
    <w:uiPriority w:val="99"/>
    <w:semiHidden/>
    <w:unhideWhenUsed/>
    <w:rsid w:val="00DD6575"/>
    <w:pPr>
      <w:spacing w:line="240" w:lineRule="auto"/>
    </w:pPr>
    <w:rPr>
      <w:sz w:val="20"/>
      <w:szCs w:val="20"/>
    </w:rPr>
  </w:style>
  <w:style w:type="character" w:customStyle="1" w:styleId="CommentTextChar">
    <w:name w:val="Comment Text Char"/>
    <w:basedOn w:val="DefaultParagraphFont"/>
    <w:link w:val="CommentText"/>
    <w:uiPriority w:val="99"/>
    <w:semiHidden/>
    <w:rsid w:val="00DD6575"/>
    <w:rPr>
      <w:rFonts w:ascii="Calibri" w:eastAsia="Calibri" w:hAnsi="Calibri" w:cs="Times New Roman"/>
      <w:sz w:val="20"/>
      <w:szCs w:val="20"/>
      <w:lang w:val="ro-RO"/>
    </w:rPr>
  </w:style>
  <w:style w:type="paragraph" w:styleId="BalloonText">
    <w:name w:val="Balloon Text"/>
    <w:basedOn w:val="Normal"/>
    <w:link w:val="BalloonTextChar"/>
    <w:uiPriority w:val="99"/>
    <w:semiHidden/>
    <w:unhideWhenUsed/>
    <w:rsid w:val="00DD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5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30548"/>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630548"/>
    <w:rPr>
      <w:rFonts w:ascii="Calibri" w:eastAsia="Calibri" w:hAnsi="Calibri" w:cs="Times New Roman"/>
      <w:b/>
      <w:bCs/>
      <w:sz w:val="20"/>
      <w:szCs w:val="20"/>
      <w:lang w:val="ro-RO"/>
    </w:rPr>
  </w:style>
  <w:style w:type="paragraph" w:styleId="Revision">
    <w:name w:val="Revision"/>
    <w:hidden/>
    <w:uiPriority w:val="99"/>
    <w:semiHidden/>
    <w:rsid w:val="00630548"/>
    <w:pPr>
      <w:spacing w:after="0" w:line="240" w:lineRule="auto"/>
    </w:pPr>
  </w:style>
  <w:style w:type="paragraph" w:styleId="ListParagraph">
    <w:name w:val="List Paragraph"/>
    <w:basedOn w:val="Normal"/>
    <w:uiPriority w:val="34"/>
    <w:qFormat/>
    <w:rsid w:val="0025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nm-lex.ro" TargetMode="External"/><Relationship Id="rId2" Type="http://schemas.openxmlformats.org/officeDocument/2006/relationships/hyperlink" Target="http://www.csm1909.ro" TargetMode="External"/><Relationship Id="rId1" Type="http://schemas.openxmlformats.org/officeDocument/2006/relationships/image" Target="media/image2.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1530</Words>
  <Characters>8723</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Superior al Magistraturii</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STANCU</dc:creator>
  <cp:keywords/>
  <dc:description/>
  <cp:lastModifiedBy>Nadia Roman</cp:lastModifiedBy>
  <cp:revision>28</cp:revision>
  <cp:lastPrinted>2017-10-20T08:57:00Z</cp:lastPrinted>
  <dcterms:created xsi:type="dcterms:W3CDTF">2017-07-11T08:47:00Z</dcterms:created>
  <dcterms:modified xsi:type="dcterms:W3CDTF">2017-10-20T09:17:00Z</dcterms:modified>
</cp:coreProperties>
</file>