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95" w:rsidRDefault="004F5895" w:rsidP="00791D6C">
      <w:pPr>
        <w:keepNext/>
        <w:tabs>
          <w:tab w:val="left" w:pos="0"/>
        </w:tabs>
        <w:spacing w:after="0" w:line="240" w:lineRule="auto"/>
        <w:jc w:val="center"/>
        <w:rPr>
          <w:rFonts w:ascii="Arial Narrow" w:hAnsi="Arial Narrow" w:cs="Arial"/>
          <w:b/>
          <w:color w:val="1F3864"/>
          <w:sz w:val="24"/>
          <w:szCs w:val="24"/>
        </w:rPr>
      </w:pPr>
    </w:p>
    <w:p w:rsidR="00791D6C" w:rsidRDefault="004F5895" w:rsidP="00791D6C">
      <w:pPr>
        <w:keepNext/>
        <w:tabs>
          <w:tab w:val="left" w:pos="0"/>
        </w:tabs>
        <w:spacing w:after="0" w:line="240" w:lineRule="auto"/>
        <w:jc w:val="center"/>
        <w:rPr>
          <w:rFonts w:ascii="Arial Narrow" w:hAnsi="Arial Narrow" w:cs="Arial"/>
          <w:b/>
          <w:color w:val="1F3864"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"/>
          <w:b/>
          <w:color w:val="1F3864"/>
          <w:sz w:val="24"/>
          <w:szCs w:val="24"/>
        </w:rPr>
        <w:t>Agendă</w:t>
      </w:r>
    </w:p>
    <w:p w:rsidR="00791D6C" w:rsidRPr="00C97F18" w:rsidRDefault="00791D6C" w:rsidP="00791D6C">
      <w:pPr>
        <w:keepNext/>
        <w:tabs>
          <w:tab w:val="left" w:pos="0"/>
        </w:tabs>
        <w:spacing w:after="0" w:line="240" w:lineRule="auto"/>
        <w:jc w:val="center"/>
        <w:rPr>
          <w:rFonts w:ascii="Arial Narrow" w:hAnsi="Arial Narrow" w:cs="Arial"/>
          <w:b/>
          <w:color w:val="1F3864"/>
          <w:sz w:val="24"/>
          <w:szCs w:val="24"/>
        </w:rPr>
      </w:pPr>
    </w:p>
    <w:p w:rsidR="00791D6C" w:rsidRPr="00C97F18" w:rsidRDefault="00791D6C" w:rsidP="00791D6C">
      <w:pPr>
        <w:spacing w:line="240" w:lineRule="auto"/>
        <w:jc w:val="center"/>
        <w:rPr>
          <w:rFonts w:ascii="Arial Narrow" w:hAnsi="Arial Narrow" w:cs="Arial"/>
          <w:b/>
          <w:color w:val="1F3864"/>
          <w:sz w:val="24"/>
          <w:szCs w:val="24"/>
        </w:rPr>
      </w:pPr>
      <w:r>
        <w:rPr>
          <w:rFonts w:ascii="Arial Narrow" w:hAnsi="Arial Narrow" w:cs="Arial"/>
          <w:b/>
          <w:color w:val="1F3864"/>
          <w:sz w:val="24"/>
          <w:szCs w:val="24"/>
        </w:rPr>
        <w:t xml:space="preserve">Dreptul </w:t>
      </w:r>
      <w:proofErr w:type="spellStart"/>
      <w:r>
        <w:rPr>
          <w:rFonts w:ascii="Arial Narrow" w:hAnsi="Arial Narrow" w:cs="Arial"/>
          <w:b/>
          <w:color w:val="1F3864"/>
          <w:sz w:val="24"/>
          <w:szCs w:val="24"/>
        </w:rPr>
        <w:t>Insolvenţei</w:t>
      </w:r>
      <w:proofErr w:type="spellEnd"/>
      <w:r>
        <w:rPr>
          <w:rFonts w:ascii="Arial Narrow" w:hAnsi="Arial Narrow" w:cs="Arial"/>
          <w:b/>
          <w:color w:val="1F3864"/>
          <w:sz w:val="24"/>
          <w:szCs w:val="24"/>
        </w:rPr>
        <w:t xml:space="preserve">. </w:t>
      </w:r>
      <w:proofErr w:type="spellStart"/>
      <w:r w:rsidRPr="00C97F18">
        <w:rPr>
          <w:rFonts w:ascii="Arial Narrow" w:hAnsi="Arial Narrow" w:cs="Arial"/>
          <w:b/>
          <w:color w:val="1F3864"/>
          <w:sz w:val="24"/>
          <w:szCs w:val="24"/>
        </w:rPr>
        <w:t>Insolvenţa</w:t>
      </w:r>
      <w:proofErr w:type="spellEnd"/>
      <w:r w:rsidRPr="00C97F18">
        <w:rPr>
          <w:rFonts w:ascii="Arial Narrow" w:hAnsi="Arial Narrow" w:cs="Arial"/>
          <w:b/>
          <w:color w:val="1F3864"/>
          <w:sz w:val="24"/>
          <w:szCs w:val="24"/>
        </w:rPr>
        <w:t xml:space="preserve"> persoanei fizice</w:t>
      </w:r>
    </w:p>
    <w:p w:rsidR="00791D6C" w:rsidRPr="00C97F18" w:rsidRDefault="00791D6C" w:rsidP="00791D6C">
      <w:pPr>
        <w:spacing w:line="240" w:lineRule="auto"/>
        <w:jc w:val="center"/>
        <w:rPr>
          <w:rFonts w:ascii="Arial Narrow" w:hAnsi="Arial Narrow" w:cs="Arial"/>
          <w:color w:val="1F3864"/>
          <w:sz w:val="24"/>
          <w:szCs w:val="24"/>
        </w:rPr>
      </w:pPr>
      <w:r>
        <w:rPr>
          <w:rFonts w:ascii="Arial Narrow" w:hAnsi="Arial Narrow" w:cs="Arial"/>
          <w:color w:val="1F3864"/>
          <w:sz w:val="24"/>
          <w:szCs w:val="24"/>
        </w:rPr>
        <w:t>20-21 noiembrie</w:t>
      </w:r>
      <w:r w:rsidRPr="00C97F18">
        <w:rPr>
          <w:rFonts w:ascii="Arial Narrow" w:hAnsi="Arial Narrow" w:cs="Arial"/>
          <w:color w:val="1F3864"/>
          <w:sz w:val="24"/>
          <w:szCs w:val="24"/>
        </w:rPr>
        <w:t xml:space="preserve"> 2017, </w:t>
      </w:r>
      <w:proofErr w:type="spellStart"/>
      <w:r w:rsidRPr="00C97F18">
        <w:rPr>
          <w:rFonts w:ascii="Arial Narrow" w:hAnsi="Arial Narrow" w:cs="Arial"/>
          <w:color w:val="1F3864"/>
          <w:sz w:val="24"/>
          <w:szCs w:val="24"/>
        </w:rPr>
        <w:t>Bucureşti</w:t>
      </w:r>
      <w:proofErr w:type="spellEnd"/>
    </w:p>
    <w:p w:rsidR="00791D6C" w:rsidRPr="00C97F18" w:rsidRDefault="00791D6C" w:rsidP="00791D6C">
      <w:pPr>
        <w:rPr>
          <w:rFonts w:ascii="Arial Narrow" w:hAnsi="Arial Narrow" w:cs="Arial"/>
          <w:b/>
          <w:color w:val="1F3864"/>
          <w:sz w:val="24"/>
          <w:szCs w:val="24"/>
        </w:rPr>
      </w:pPr>
      <w:proofErr w:type="spellStart"/>
      <w:r w:rsidRPr="00C97F18">
        <w:rPr>
          <w:rFonts w:ascii="Arial Narrow" w:hAnsi="Arial Narrow" w:cs="Arial"/>
          <w:b/>
          <w:color w:val="1F3864"/>
          <w:sz w:val="24"/>
          <w:szCs w:val="24"/>
        </w:rPr>
        <w:t>Experti</w:t>
      </w:r>
      <w:proofErr w:type="spellEnd"/>
    </w:p>
    <w:p w:rsidR="00791D6C" w:rsidRPr="00C97F18" w:rsidRDefault="00791D6C" w:rsidP="00791D6C">
      <w:pPr>
        <w:pStyle w:val="Listparagraf"/>
        <w:numPr>
          <w:ilvl w:val="0"/>
          <w:numId w:val="1"/>
        </w:numPr>
        <w:tabs>
          <w:tab w:val="left" w:pos="3261"/>
        </w:tabs>
        <w:spacing w:after="200" w:line="276" w:lineRule="auto"/>
        <w:rPr>
          <w:rFonts w:ascii="Arial Narrow" w:hAnsi="Arial Narrow" w:cs="Arial"/>
          <w:b/>
          <w:color w:val="1F3864"/>
          <w:lang w:val="ro-RO"/>
        </w:rPr>
      </w:pPr>
      <w:r w:rsidRPr="00C97F18">
        <w:rPr>
          <w:rFonts w:ascii="Arial Narrow" w:hAnsi="Arial Narrow" w:cs="Arial"/>
          <w:b/>
          <w:color w:val="1F3864"/>
          <w:lang w:val="ro-RO"/>
        </w:rPr>
        <w:t>Diana Elena UNGUREANU, judecător, formator INM</w:t>
      </w:r>
    </w:p>
    <w:p w:rsidR="00791D6C" w:rsidRPr="00C97F18" w:rsidRDefault="00791D6C" w:rsidP="00791D6C">
      <w:pPr>
        <w:pStyle w:val="Listparagraf"/>
        <w:numPr>
          <w:ilvl w:val="0"/>
          <w:numId w:val="1"/>
        </w:numPr>
        <w:spacing w:after="200" w:line="276" w:lineRule="auto"/>
        <w:rPr>
          <w:rFonts w:ascii="Arial Narrow" w:hAnsi="Arial Narrow" w:cs="Arial"/>
          <w:b/>
          <w:color w:val="1F3864"/>
          <w:lang w:val="ro-RO"/>
        </w:rPr>
      </w:pPr>
      <w:r>
        <w:rPr>
          <w:rFonts w:ascii="Arial Narrow" w:hAnsi="Arial Narrow" w:cs="Arial"/>
          <w:b/>
          <w:color w:val="1F3864"/>
          <w:lang w:val="ro-RO"/>
        </w:rPr>
        <w:t xml:space="preserve">Ionela GHIUGAN, judecător Tribunalul </w:t>
      </w:r>
      <w:proofErr w:type="spellStart"/>
      <w:r>
        <w:rPr>
          <w:rFonts w:ascii="Arial Narrow" w:hAnsi="Arial Narrow" w:cs="Arial"/>
          <w:b/>
          <w:color w:val="1F3864"/>
          <w:lang w:val="ro-RO"/>
        </w:rPr>
        <w:t>Bucureşti</w:t>
      </w:r>
      <w:proofErr w:type="spellEnd"/>
    </w:p>
    <w:p w:rsidR="00791D6C" w:rsidRPr="00C97F18" w:rsidRDefault="00791D6C" w:rsidP="00791D6C">
      <w:pPr>
        <w:spacing w:after="0" w:line="240" w:lineRule="auto"/>
        <w:rPr>
          <w:rFonts w:ascii="Arial Narrow" w:hAnsi="Arial Narrow"/>
          <w:b/>
          <w:bCs/>
        </w:rPr>
      </w:pPr>
      <w:r w:rsidRPr="00C97F18">
        <w:rPr>
          <w:rFonts w:ascii="Arial Narrow" w:hAnsi="Arial Narrow"/>
          <w:b/>
          <w:bCs/>
        </w:rPr>
        <w:t xml:space="preserve">Luni, </w:t>
      </w:r>
      <w:r>
        <w:rPr>
          <w:rFonts w:ascii="Arial Narrow" w:hAnsi="Arial Narrow"/>
          <w:b/>
          <w:bCs/>
        </w:rPr>
        <w:t>20 noiembrie</w:t>
      </w:r>
      <w:r w:rsidRPr="00C97F18">
        <w:rPr>
          <w:rFonts w:ascii="Arial Narrow" w:hAnsi="Arial Narrow"/>
          <w:b/>
          <w:bCs/>
        </w:rPr>
        <w:t xml:space="preserve"> 2017</w:t>
      </w:r>
    </w:p>
    <w:p w:rsidR="00791D6C" w:rsidRPr="00C97F18" w:rsidRDefault="00791D6C" w:rsidP="00791D6C">
      <w:pPr>
        <w:spacing w:after="0" w:line="240" w:lineRule="auto"/>
        <w:rPr>
          <w:rFonts w:ascii="Arial Narrow" w:hAnsi="Arial Narrow"/>
          <w:b/>
          <w:bCs/>
        </w:rPr>
      </w:pPr>
    </w:p>
    <w:tbl>
      <w:tblPr>
        <w:tblW w:w="10206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795"/>
        <w:gridCol w:w="8411"/>
      </w:tblGrid>
      <w:tr w:rsidR="00791D6C" w:rsidRPr="00C97F18" w:rsidTr="00B14874">
        <w:tc>
          <w:tcPr>
            <w:tcW w:w="179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791D6C" w:rsidRPr="00C97F18" w:rsidRDefault="00791D6C" w:rsidP="00B14874">
            <w:pPr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  <w:t>09.00-09.15</w:t>
            </w:r>
          </w:p>
        </w:tc>
        <w:tc>
          <w:tcPr>
            <w:tcW w:w="84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791D6C" w:rsidRPr="00C97F18" w:rsidRDefault="00791D6C" w:rsidP="00B14874">
            <w:pPr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 xml:space="preserve">Sosirea </w:t>
            </w:r>
            <w:proofErr w:type="spellStart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>şi</w:t>
            </w:r>
            <w:proofErr w:type="spellEnd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 xml:space="preserve"> înregistrarea </w:t>
            </w:r>
            <w:proofErr w:type="spellStart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>participanţilor</w:t>
            </w:r>
            <w:proofErr w:type="spellEnd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>.</w:t>
            </w:r>
          </w:p>
          <w:p w:rsidR="00791D6C" w:rsidRPr="00C97F18" w:rsidRDefault="00791D6C" w:rsidP="00B14874">
            <w:pPr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>Deschiderea seminarului.</w:t>
            </w:r>
          </w:p>
        </w:tc>
      </w:tr>
      <w:tr w:rsidR="00791D6C" w:rsidRPr="00C97F18" w:rsidTr="00B14874">
        <w:tc>
          <w:tcPr>
            <w:tcW w:w="179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791D6C" w:rsidRPr="00C97F18" w:rsidRDefault="00791D6C" w:rsidP="00B14874">
            <w:pPr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  <w:t>09.15-10.15</w:t>
            </w:r>
          </w:p>
        </w:tc>
        <w:tc>
          <w:tcPr>
            <w:tcW w:w="84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791D6C" w:rsidRPr="00C97F18" w:rsidRDefault="00791D6C" w:rsidP="00B14874">
            <w:pPr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 xml:space="preserve">Scopul </w:t>
            </w:r>
            <w:proofErr w:type="spellStart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>şi</w:t>
            </w:r>
            <w:proofErr w:type="spellEnd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 xml:space="preserve"> principiile legii insolvenței persoanei fizice. Formele procedurii. Prezentare generală.</w:t>
            </w:r>
          </w:p>
        </w:tc>
      </w:tr>
      <w:tr w:rsidR="00791D6C" w:rsidRPr="00C97F18" w:rsidTr="00B14874">
        <w:tc>
          <w:tcPr>
            <w:tcW w:w="179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791D6C" w:rsidRPr="00C97F18" w:rsidRDefault="00791D6C" w:rsidP="00B14874">
            <w:pPr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  <w:t>10.15-10.30</w:t>
            </w:r>
          </w:p>
        </w:tc>
        <w:tc>
          <w:tcPr>
            <w:tcW w:w="84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791D6C" w:rsidRPr="001E406F" w:rsidRDefault="00791D6C" w:rsidP="00B14874">
            <w:pPr>
              <w:rPr>
                <w:rFonts w:ascii="Arial Narrow" w:hAnsi="Arial Narrow"/>
                <w:bCs/>
                <w:i/>
                <w:color w:val="1F4E79" w:themeColor="accent1" w:themeShade="80"/>
                <w:sz w:val="24"/>
                <w:szCs w:val="24"/>
              </w:rPr>
            </w:pPr>
            <w:r w:rsidRPr="001E406F">
              <w:rPr>
                <w:rFonts w:ascii="Arial Narrow" w:hAnsi="Arial Narrow"/>
                <w:bCs/>
                <w:i/>
                <w:color w:val="1F4E79" w:themeColor="accent1" w:themeShade="80"/>
                <w:sz w:val="24"/>
                <w:szCs w:val="24"/>
              </w:rPr>
              <w:t xml:space="preserve">Pauză de cafea </w:t>
            </w:r>
          </w:p>
        </w:tc>
      </w:tr>
      <w:tr w:rsidR="00791D6C" w:rsidRPr="00C97F18" w:rsidTr="00B14874">
        <w:tc>
          <w:tcPr>
            <w:tcW w:w="179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791D6C" w:rsidRPr="00C97F18" w:rsidRDefault="00791D6C" w:rsidP="00B14874">
            <w:pPr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  <w:t>10.30-12.00</w:t>
            </w:r>
          </w:p>
        </w:tc>
        <w:tc>
          <w:tcPr>
            <w:tcW w:w="84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791D6C" w:rsidRPr="00C97F18" w:rsidRDefault="00791D6C" w:rsidP="00B14874">
            <w:pPr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 xml:space="preserve">Procedura administrativă pe bază de plan de rambursare a datoriilor (I). Domeniul de aplicare. Organe care aplică procedura </w:t>
            </w:r>
            <w:proofErr w:type="spellStart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>şi</w:t>
            </w:r>
            <w:proofErr w:type="spellEnd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 xml:space="preserve"> atribuțiile acestora. Participanți. Drepturi </w:t>
            </w:r>
            <w:proofErr w:type="spellStart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>şi</w:t>
            </w:r>
            <w:proofErr w:type="spellEnd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>obligaţii</w:t>
            </w:r>
            <w:proofErr w:type="spellEnd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>.</w:t>
            </w:r>
          </w:p>
        </w:tc>
      </w:tr>
      <w:tr w:rsidR="00791D6C" w:rsidRPr="00C97F18" w:rsidTr="00B14874">
        <w:tc>
          <w:tcPr>
            <w:tcW w:w="179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791D6C" w:rsidRPr="00C97F18" w:rsidRDefault="00791D6C" w:rsidP="00B14874">
            <w:pPr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  <w:t>12.00-13.00</w:t>
            </w:r>
          </w:p>
        </w:tc>
        <w:tc>
          <w:tcPr>
            <w:tcW w:w="84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791D6C" w:rsidRPr="001E406F" w:rsidRDefault="00791D6C" w:rsidP="00B14874">
            <w:pPr>
              <w:rPr>
                <w:rFonts w:ascii="Arial Narrow" w:hAnsi="Arial Narrow"/>
                <w:bCs/>
                <w:i/>
                <w:color w:val="1F4E79" w:themeColor="accent1" w:themeShade="80"/>
                <w:sz w:val="24"/>
                <w:szCs w:val="24"/>
              </w:rPr>
            </w:pPr>
            <w:r w:rsidRPr="001E406F">
              <w:rPr>
                <w:rFonts w:ascii="Arial Narrow" w:hAnsi="Arial Narrow"/>
                <w:bCs/>
                <w:i/>
                <w:color w:val="1F4E79" w:themeColor="accent1" w:themeShade="80"/>
                <w:sz w:val="24"/>
                <w:szCs w:val="24"/>
              </w:rPr>
              <w:t xml:space="preserve">Prânz </w:t>
            </w:r>
          </w:p>
        </w:tc>
      </w:tr>
      <w:tr w:rsidR="00791D6C" w:rsidRPr="00C97F18" w:rsidTr="00B14874">
        <w:tc>
          <w:tcPr>
            <w:tcW w:w="179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791D6C" w:rsidRPr="00C97F18" w:rsidRDefault="00791D6C" w:rsidP="00B14874">
            <w:pPr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  <w:t>13.00-14.30</w:t>
            </w:r>
          </w:p>
        </w:tc>
        <w:tc>
          <w:tcPr>
            <w:tcW w:w="84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791D6C" w:rsidRPr="00C97F18" w:rsidRDefault="00791D6C" w:rsidP="00B14874">
            <w:pPr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 xml:space="preserve">Procedura administrativă pe bază de plan de rambursare a datoriilor (II). Deschiderea procedurii. Efecte. Planul de rambursare. Derularea procedurii. </w:t>
            </w:r>
            <w:proofErr w:type="spellStart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>Acţiuni</w:t>
            </w:r>
            <w:proofErr w:type="spellEnd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 xml:space="preserve"> de </w:t>
            </w:r>
            <w:proofErr w:type="spellStart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>competenţa</w:t>
            </w:r>
            <w:proofErr w:type="spellEnd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>instanţelor</w:t>
            </w:r>
            <w:proofErr w:type="spellEnd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>judecătoreşti</w:t>
            </w:r>
            <w:proofErr w:type="spellEnd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>.</w:t>
            </w:r>
          </w:p>
        </w:tc>
      </w:tr>
      <w:tr w:rsidR="00791D6C" w:rsidRPr="00C97F18" w:rsidTr="00B14874">
        <w:tc>
          <w:tcPr>
            <w:tcW w:w="179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791D6C" w:rsidRPr="00C97F18" w:rsidRDefault="00791D6C" w:rsidP="00B14874">
            <w:pPr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  <w:t>14.30-15.00</w:t>
            </w:r>
          </w:p>
        </w:tc>
        <w:tc>
          <w:tcPr>
            <w:tcW w:w="84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791D6C" w:rsidRPr="001E406F" w:rsidRDefault="00791D6C" w:rsidP="00B14874">
            <w:pPr>
              <w:rPr>
                <w:rFonts w:ascii="Arial Narrow" w:hAnsi="Arial Narrow"/>
                <w:bCs/>
                <w:i/>
                <w:color w:val="1F4E79" w:themeColor="accent1" w:themeShade="80"/>
                <w:sz w:val="24"/>
                <w:szCs w:val="24"/>
              </w:rPr>
            </w:pPr>
            <w:r w:rsidRPr="001E406F">
              <w:rPr>
                <w:rFonts w:ascii="Arial Narrow" w:hAnsi="Arial Narrow"/>
                <w:bCs/>
                <w:i/>
                <w:color w:val="1F4E79" w:themeColor="accent1" w:themeShade="80"/>
                <w:sz w:val="24"/>
                <w:szCs w:val="24"/>
              </w:rPr>
              <w:t>Pauză de cafea</w:t>
            </w:r>
          </w:p>
        </w:tc>
      </w:tr>
      <w:tr w:rsidR="00791D6C" w:rsidRPr="00C97F18" w:rsidTr="00B14874">
        <w:tc>
          <w:tcPr>
            <w:tcW w:w="179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791D6C" w:rsidRPr="00C97F18" w:rsidRDefault="00791D6C" w:rsidP="00B14874">
            <w:pPr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  <w:t>15.00-16.30</w:t>
            </w:r>
          </w:p>
          <w:p w:rsidR="00791D6C" w:rsidRPr="00C97F18" w:rsidRDefault="00791D6C" w:rsidP="00B14874">
            <w:pPr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</w:pPr>
          </w:p>
          <w:p w:rsidR="00791D6C" w:rsidRPr="00C97F18" w:rsidRDefault="00791D6C" w:rsidP="00B14874">
            <w:pPr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  <w:t>16.30-17.00</w:t>
            </w:r>
          </w:p>
        </w:tc>
        <w:tc>
          <w:tcPr>
            <w:tcW w:w="84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791D6C" w:rsidRPr="00C97F18" w:rsidRDefault="00791D6C" w:rsidP="00B14874">
            <w:pPr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 xml:space="preserve">Procedura administrativă pe bază de plan de rambursare a datoriilor (III). Închiderea procedurii. </w:t>
            </w:r>
            <w:proofErr w:type="spellStart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>Modalităţi</w:t>
            </w:r>
            <w:proofErr w:type="spellEnd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>şi</w:t>
            </w:r>
            <w:proofErr w:type="spellEnd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 xml:space="preserve"> efecte. Descărcarea de datorie.</w:t>
            </w:r>
          </w:p>
          <w:p w:rsidR="00791D6C" w:rsidRPr="00C97F18" w:rsidRDefault="00791D6C" w:rsidP="00B14874">
            <w:pPr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 xml:space="preserve">Sesiune de </w:t>
            </w:r>
            <w:proofErr w:type="spellStart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>întebări</w:t>
            </w:r>
            <w:proofErr w:type="spellEnd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>şi</w:t>
            </w:r>
            <w:proofErr w:type="spellEnd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 xml:space="preserve"> răspunsuri.</w:t>
            </w:r>
          </w:p>
        </w:tc>
      </w:tr>
    </w:tbl>
    <w:p w:rsidR="00791D6C" w:rsidRPr="00C97F18" w:rsidRDefault="00791D6C" w:rsidP="00791D6C">
      <w:pPr>
        <w:spacing w:after="0" w:line="240" w:lineRule="auto"/>
        <w:rPr>
          <w:rFonts w:ascii="Arial Narrow" w:hAnsi="Arial Narrow"/>
          <w:b/>
          <w:bCs/>
        </w:rPr>
      </w:pPr>
    </w:p>
    <w:p w:rsidR="00791D6C" w:rsidRPr="00C97F18" w:rsidRDefault="00791D6C" w:rsidP="00791D6C">
      <w:pPr>
        <w:spacing w:after="0" w:line="240" w:lineRule="auto"/>
        <w:rPr>
          <w:rFonts w:ascii="Arial Narrow" w:hAnsi="Arial Narrow"/>
          <w:b/>
          <w:bCs/>
        </w:rPr>
      </w:pPr>
    </w:p>
    <w:p w:rsidR="00791D6C" w:rsidRPr="00C97F18" w:rsidRDefault="00791D6C" w:rsidP="00791D6C">
      <w:pPr>
        <w:spacing w:after="0" w:line="240" w:lineRule="auto"/>
        <w:rPr>
          <w:rFonts w:ascii="Arial Narrow" w:hAnsi="Arial Narrow"/>
          <w:b/>
          <w:bCs/>
        </w:rPr>
      </w:pPr>
    </w:p>
    <w:p w:rsidR="00791D6C" w:rsidRPr="00C97F18" w:rsidRDefault="00791D6C" w:rsidP="00791D6C">
      <w:pPr>
        <w:spacing w:after="0" w:line="240" w:lineRule="auto"/>
        <w:rPr>
          <w:rFonts w:ascii="Arial Narrow" w:hAnsi="Arial Narrow"/>
          <w:b/>
          <w:bCs/>
        </w:rPr>
      </w:pPr>
      <w:proofErr w:type="spellStart"/>
      <w:r w:rsidRPr="00C97F18">
        <w:rPr>
          <w:rFonts w:ascii="Arial Narrow" w:hAnsi="Arial Narrow"/>
          <w:b/>
          <w:bCs/>
        </w:rPr>
        <w:t>Marţi</w:t>
      </w:r>
      <w:proofErr w:type="spellEnd"/>
      <w:r w:rsidRPr="00C97F18">
        <w:rPr>
          <w:rFonts w:ascii="Arial Narrow" w:hAnsi="Arial Narrow"/>
          <w:b/>
          <w:bCs/>
        </w:rPr>
        <w:t xml:space="preserve">, </w:t>
      </w:r>
      <w:r>
        <w:rPr>
          <w:rFonts w:ascii="Arial Narrow" w:hAnsi="Arial Narrow"/>
          <w:b/>
          <w:bCs/>
        </w:rPr>
        <w:t>21 noiembrie</w:t>
      </w:r>
      <w:r w:rsidRPr="00C97F18">
        <w:rPr>
          <w:rFonts w:ascii="Arial Narrow" w:hAnsi="Arial Narrow"/>
          <w:b/>
          <w:bCs/>
        </w:rPr>
        <w:t xml:space="preserve"> 2017</w:t>
      </w:r>
    </w:p>
    <w:p w:rsidR="00791D6C" w:rsidRPr="00C97F18" w:rsidRDefault="00791D6C" w:rsidP="00791D6C">
      <w:pPr>
        <w:spacing w:after="0" w:line="240" w:lineRule="auto"/>
        <w:rPr>
          <w:rFonts w:ascii="Arial Narrow" w:hAnsi="Arial Narrow"/>
          <w:b/>
          <w:bCs/>
        </w:rPr>
      </w:pPr>
    </w:p>
    <w:tbl>
      <w:tblPr>
        <w:tblW w:w="10206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843"/>
        <w:gridCol w:w="8363"/>
      </w:tblGrid>
      <w:tr w:rsidR="00791D6C" w:rsidRPr="00C97F18" w:rsidTr="00B14874">
        <w:tc>
          <w:tcPr>
            <w:tcW w:w="18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791D6C" w:rsidRPr="00C97F18" w:rsidRDefault="00791D6C" w:rsidP="00B14874">
            <w:pPr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  <w:t>09.00-11.00</w:t>
            </w:r>
          </w:p>
        </w:tc>
        <w:tc>
          <w:tcPr>
            <w:tcW w:w="836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791D6C" w:rsidRPr="00C97F18" w:rsidRDefault="00791D6C" w:rsidP="00B14874">
            <w:pPr>
              <w:spacing w:after="0"/>
              <w:jc w:val="both"/>
              <w:rPr>
                <w:rFonts w:ascii="Arial Narrow" w:hAnsi="Arial Narrow" w:cs="Arial"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eastAsia="Times New Roman" w:hAnsi="Arial Narrow"/>
                <w:bCs/>
                <w:color w:val="1F4E79" w:themeColor="accent1" w:themeShade="80"/>
                <w:sz w:val="24"/>
                <w:szCs w:val="24"/>
              </w:rPr>
              <w:t xml:space="preserve">Procedura judiciară de </w:t>
            </w:r>
            <w:proofErr w:type="spellStart"/>
            <w:r w:rsidRPr="00C97F18">
              <w:rPr>
                <w:rFonts w:ascii="Arial Narrow" w:eastAsia="Times New Roman" w:hAnsi="Arial Narrow"/>
                <w:bCs/>
                <w:color w:val="1F4E79" w:themeColor="accent1" w:themeShade="80"/>
                <w:sz w:val="24"/>
                <w:szCs w:val="24"/>
              </w:rPr>
              <w:t>insolvenţă</w:t>
            </w:r>
            <w:proofErr w:type="spellEnd"/>
            <w:r w:rsidRPr="00C97F18">
              <w:rPr>
                <w:rFonts w:ascii="Arial Narrow" w:eastAsia="Times New Roman" w:hAnsi="Arial Narrow"/>
                <w:bCs/>
                <w:color w:val="1F4E79" w:themeColor="accent1" w:themeShade="80"/>
                <w:sz w:val="24"/>
                <w:szCs w:val="24"/>
              </w:rPr>
              <w:t xml:space="preserve"> prin lichidarea activelor debitorului (I). Domeniul de aplicare. Organe care aplică procedura </w:t>
            </w:r>
            <w:proofErr w:type="spellStart"/>
            <w:r w:rsidRPr="00C97F18">
              <w:rPr>
                <w:rFonts w:ascii="Arial Narrow" w:eastAsia="Times New Roman" w:hAnsi="Arial Narrow"/>
                <w:bCs/>
                <w:color w:val="1F4E79" w:themeColor="accent1" w:themeShade="80"/>
                <w:sz w:val="24"/>
                <w:szCs w:val="24"/>
              </w:rPr>
              <w:t>şi</w:t>
            </w:r>
            <w:proofErr w:type="spellEnd"/>
            <w:r w:rsidRPr="00C97F18">
              <w:rPr>
                <w:rFonts w:ascii="Arial Narrow" w:eastAsia="Times New Roman" w:hAnsi="Arial Narrow"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C97F18">
              <w:rPr>
                <w:rFonts w:ascii="Arial Narrow" w:eastAsia="Times New Roman" w:hAnsi="Arial Narrow"/>
                <w:bCs/>
                <w:color w:val="1F4E79" w:themeColor="accent1" w:themeShade="80"/>
                <w:sz w:val="24"/>
                <w:szCs w:val="24"/>
              </w:rPr>
              <w:t>atribuţiile</w:t>
            </w:r>
            <w:proofErr w:type="spellEnd"/>
            <w:r w:rsidRPr="00C97F18">
              <w:rPr>
                <w:rFonts w:ascii="Arial Narrow" w:eastAsia="Times New Roman" w:hAnsi="Arial Narrow"/>
                <w:bCs/>
                <w:color w:val="1F4E79" w:themeColor="accent1" w:themeShade="80"/>
                <w:sz w:val="24"/>
                <w:szCs w:val="24"/>
              </w:rPr>
              <w:t xml:space="preserve"> acestora. </w:t>
            </w:r>
            <w:proofErr w:type="spellStart"/>
            <w:r w:rsidRPr="00C97F18">
              <w:rPr>
                <w:rFonts w:ascii="Arial Narrow" w:eastAsia="Times New Roman" w:hAnsi="Arial Narrow"/>
                <w:bCs/>
                <w:color w:val="1F4E79" w:themeColor="accent1" w:themeShade="80"/>
                <w:sz w:val="24"/>
                <w:szCs w:val="24"/>
              </w:rPr>
              <w:t>Participanţi</w:t>
            </w:r>
            <w:proofErr w:type="spellEnd"/>
            <w:r w:rsidRPr="00C97F18">
              <w:rPr>
                <w:rFonts w:ascii="Arial Narrow" w:eastAsia="Times New Roman" w:hAnsi="Arial Narrow"/>
                <w:bCs/>
                <w:color w:val="1F4E79" w:themeColor="accent1" w:themeShade="80"/>
                <w:sz w:val="24"/>
                <w:szCs w:val="24"/>
              </w:rPr>
              <w:t xml:space="preserve">. Drepturi </w:t>
            </w:r>
            <w:proofErr w:type="spellStart"/>
            <w:r w:rsidRPr="00C97F18">
              <w:rPr>
                <w:rFonts w:ascii="Arial Narrow" w:eastAsia="Times New Roman" w:hAnsi="Arial Narrow"/>
                <w:bCs/>
                <w:color w:val="1F4E79" w:themeColor="accent1" w:themeShade="80"/>
                <w:sz w:val="24"/>
                <w:szCs w:val="24"/>
              </w:rPr>
              <w:t>şi</w:t>
            </w:r>
            <w:proofErr w:type="spellEnd"/>
            <w:r w:rsidRPr="00C97F18">
              <w:rPr>
                <w:rFonts w:ascii="Arial Narrow" w:eastAsia="Times New Roman" w:hAnsi="Arial Narrow"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C97F18">
              <w:rPr>
                <w:rFonts w:ascii="Arial Narrow" w:eastAsia="Times New Roman" w:hAnsi="Arial Narrow"/>
                <w:bCs/>
                <w:color w:val="1F4E79" w:themeColor="accent1" w:themeShade="80"/>
                <w:sz w:val="24"/>
                <w:szCs w:val="24"/>
              </w:rPr>
              <w:t>obligaţii</w:t>
            </w:r>
            <w:proofErr w:type="spellEnd"/>
            <w:r w:rsidRPr="00C97F18">
              <w:rPr>
                <w:rFonts w:ascii="Arial Narrow" w:eastAsia="Times New Roman" w:hAnsi="Arial Narrow"/>
                <w:bCs/>
                <w:color w:val="1F4E79" w:themeColor="accent1" w:themeShade="80"/>
                <w:sz w:val="24"/>
                <w:szCs w:val="24"/>
              </w:rPr>
              <w:t>.</w:t>
            </w:r>
          </w:p>
        </w:tc>
      </w:tr>
      <w:tr w:rsidR="00791D6C" w:rsidRPr="00C97F18" w:rsidTr="00B14874"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791D6C" w:rsidRPr="00BF41CC" w:rsidRDefault="00791D6C" w:rsidP="00B14874">
            <w:pPr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</w:pPr>
            <w:r w:rsidRPr="00BF41CC"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  <w:t>11.00-11.15</w:t>
            </w:r>
          </w:p>
        </w:tc>
        <w:tc>
          <w:tcPr>
            <w:tcW w:w="8363" w:type="dxa"/>
            <w:tcBorders>
              <w:left w:val="nil"/>
              <w:right w:val="nil"/>
            </w:tcBorders>
            <w:shd w:val="clear" w:color="auto" w:fill="auto"/>
          </w:tcPr>
          <w:p w:rsidR="00791D6C" w:rsidRPr="00BF41CC" w:rsidRDefault="00791D6C" w:rsidP="00B14874">
            <w:pPr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</w:pPr>
            <w:r w:rsidRPr="00BF41CC"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  <w:t>Pauză de cafea</w:t>
            </w:r>
          </w:p>
        </w:tc>
      </w:tr>
      <w:tr w:rsidR="00791D6C" w:rsidRPr="00C97F18" w:rsidTr="00B14874">
        <w:tc>
          <w:tcPr>
            <w:tcW w:w="1843" w:type="dxa"/>
            <w:shd w:val="clear" w:color="auto" w:fill="auto"/>
          </w:tcPr>
          <w:p w:rsidR="00791D6C" w:rsidRPr="00C97F18" w:rsidRDefault="00791D6C" w:rsidP="00B14874">
            <w:pPr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  <w:lastRenderedPageBreak/>
              <w:t>11.15-13.00</w:t>
            </w:r>
          </w:p>
        </w:tc>
        <w:tc>
          <w:tcPr>
            <w:tcW w:w="8363" w:type="dxa"/>
            <w:shd w:val="clear" w:color="auto" w:fill="auto"/>
          </w:tcPr>
          <w:p w:rsidR="00791D6C" w:rsidRPr="00C97F18" w:rsidRDefault="00791D6C" w:rsidP="00B14874">
            <w:pPr>
              <w:pStyle w:val="Listparagraf1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 xml:space="preserve">Procedura judiciară de </w:t>
            </w:r>
            <w:proofErr w:type="spellStart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>insolvenţă</w:t>
            </w:r>
            <w:proofErr w:type="spellEnd"/>
            <w:r w:rsidRPr="00C97F18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t xml:space="preserve"> prin lichidarea activelor debitorului (II).</w:t>
            </w:r>
            <w:r w:rsidRPr="00C97F18">
              <w:rPr>
                <w:rFonts w:ascii="Arial Narrow" w:hAnsi="Arial Narrow" w:cs="Arial"/>
                <w:color w:val="1F4E79" w:themeColor="accent1" w:themeShade="80"/>
                <w:sz w:val="24"/>
                <w:szCs w:val="24"/>
                <w:lang w:eastAsia="ro-RO"/>
              </w:rPr>
              <w:t>Deschiderea procedurii. Efecte. Derularea procedurii</w:t>
            </w:r>
            <w:r w:rsidRPr="00C97F18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 xml:space="preserve">. </w:t>
            </w:r>
            <w:proofErr w:type="spellStart"/>
            <w:r w:rsidRPr="00C97F18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>Acţiuni</w:t>
            </w:r>
            <w:proofErr w:type="spellEnd"/>
            <w:r w:rsidRPr="00C97F18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 xml:space="preserve"> de </w:t>
            </w:r>
            <w:proofErr w:type="spellStart"/>
            <w:r w:rsidRPr="00C97F18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>competenţa</w:t>
            </w:r>
            <w:proofErr w:type="spellEnd"/>
            <w:r w:rsidRPr="00C97F18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C97F18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>instanţelor</w:t>
            </w:r>
            <w:proofErr w:type="spellEnd"/>
            <w:r w:rsidRPr="00C97F18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C97F18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>judecătoreşti</w:t>
            </w:r>
            <w:proofErr w:type="spellEnd"/>
            <w:r w:rsidRPr="00C97F18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>.</w:t>
            </w:r>
          </w:p>
          <w:p w:rsidR="00791D6C" w:rsidRPr="00C97F18" w:rsidRDefault="00791D6C" w:rsidP="00B14874">
            <w:pPr>
              <w:pStyle w:val="Listparagraf1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 xml:space="preserve">Închiderea procedurii. </w:t>
            </w:r>
            <w:proofErr w:type="spellStart"/>
            <w:r w:rsidRPr="00C97F18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>Modalităti</w:t>
            </w:r>
            <w:proofErr w:type="spellEnd"/>
            <w:r w:rsidRPr="00C97F18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C97F18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>şi</w:t>
            </w:r>
            <w:proofErr w:type="spellEnd"/>
            <w:r w:rsidRPr="00C97F18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 xml:space="preserve"> efecte. Supravegherea post-închidere. Descărcarea de datorie.</w:t>
            </w:r>
          </w:p>
        </w:tc>
      </w:tr>
      <w:tr w:rsidR="00791D6C" w:rsidRPr="00C97F18" w:rsidTr="00B14874"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791D6C" w:rsidRPr="00C97F18" w:rsidRDefault="00791D6C" w:rsidP="00B14874">
            <w:pPr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  <w:t>13.00-14.00</w:t>
            </w:r>
          </w:p>
        </w:tc>
        <w:tc>
          <w:tcPr>
            <w:tcW w:w="8363" w:type="dxa"/>
            <w:tcBorders>
              <w:left w:val="nil"/>
              <w:right w:val="nil"/>
            </w:tcBorders>
            <w:shd w:val="clear" w:color="auto" w:fill="auto"/>
          </w:tcPr>
          <w:p w:rsidR="00791D6C" w:rsidRPr="00C97F18" w:rsidRDefault="00791D6C" w:rsidP="00B14874">
            <w:pPr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  <w:t>Prânz</w:t>
            </w:r>
          </w:p>
        </w:tc>
      </w:tr>
      <w:tr w:rsidR="00791D6C" w:rsidRPr="00C97F18" w:rsidTr="00B14874">
        <w:tc>
          <w:tcPr>
            <w:tcW w:w="1843" w:type="dxa"/>
            <w:shd w:val="clear" w:color="auto" w:fill="auto"/>
          </w:tcPr>
          <w:p w:rsidR="00791D6C" w:rsidRPr="00C97F18" w:rsidRDefault="00791D6C" w:rsidP="00B14874">
            <w:pPr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  <w:t>14.00-15.00</w:t>
            </w:r>
          </w:p>
        </w:tc>
        <w:tc>
          <w:tcPr>
            <w:tcW w:w="8363" w:type="dxa"/>
            <w:shd w:val="clear" w:color="auto" w:fill="auto"/>
          </w:tcPr>
          <w:p w:rsidR="00791D6C" w:rsidRPr="00C97F18" w:rsidRDefault="00791D6C" w:rsidP="00B14874">
            <w:pPr>
              <w:spacing w:after="0"/>
              <w:jc w:val="both"/>
              <w:rPr>
                <w:rFonts w:ascii="Arial Narrow" w:hAnsi="Arial Narrow" w:cs="Arial"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 xml:space="preserve"> Procedura simplificată. Deschiderea procedurii. </w:t>
            </w:r>
          </w:p>
        </w:tc>
      </w:tr>
      <w:tr w:rsidR="00791D6C" w:rsidRPr="00C97F18" w:rsidTr="00B14874"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791D6C" w:rsidRPr="00C97F18" w:rsidRDefault="00791D6C" w:rsidP="00B14874">
            <w:pPr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  <w:t>15.00-15.30</w:t>
            </w:r>
          </w:p>
          <w:p w:rsidR="00791D6C" w:rsidRPr="00C97F18" w:rsidRDefault="00791D6C" w:rsidP="00B14874">
            <w:pPr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  <w:t>15.30-16.30</w:t>
            </w:r>
          </w:p>
        </w:tc>
        <w:tc>
          <w:tcPr>
            <w:tcW w:w="8363" w:type="dxa"/>
            <w:tcBorders>
              <w:left w:val="nil"/>
              <w:right w:val="nil"/>
            </w:tcBorders>
            <w:shd w:val="clear" w:color="auto" w:fill="auto"/>
          </w:tcPr>
          <w:p w:rsidR="00791D6C" w:rsidRPr="00C97F18" w:rsidRDefault="00791D6C" w:rsidP="00B14874">
            <w:pPr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 w:cs="Arial"/>
                <w:i/>
                <w:color w:val="1F4E79" w:themeColor="accent1" w:themeShade="80"/>
                <w:sz w:val="24"/>
                <w:szCs w:val="24"/>
              </w:rPr>
              <w:t>Pauză de cafea</w:t>
            </w:r>
          </w:p>
          <w:p w:rsidR="00791D6C" w:rsidRPr="00C97F18" w:rsidRDefault="00791D6C" w:rsidP="00B14874">
            <w:pPr>
              <w:rPr>
                <w:rFonts w:ascii="Arial Narrow" w:hAnsi="Arial Narrow" w:cs="Arial"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 w:cs="Arial"/>
                <w:color w:val="1F4E79" w:themeColor="accent1" w:themeShade="80"/>
                <w:sz w:val="24"/>
                <w:szCs w:val="24"/>
              </w:rPr>
              <w:t>Sesiune de înt</w:t>
            </w:r>
            <w:r>
              <w:rPr>
                <w:rFonts w:ascii="Arial Narrow" w:hAnsi="Arial Narrow" w:cs="Arial"/>
                <w:color w:val="1F4E79" w:themeColor="accent1" w:themeShade="80"/>
                <w:sz w:val="24"/>
                <w:szCs w:val="24"/>
              </w:rPr>
              <w:t>r</w:t>
            </w:r>
            <w:r w:rsidRPr="00C97F18">
              <w:rPr>
                <w:rFonts w:ascii="Arial Narrow" w:hAnsi="Arial Narrow" w:cs="Arial"/>
                <w:color w:val="1F4E79" w:themeColor="accent1" w:themeShade="80"/>
                <w:sz w:val="24"/>
                <w:szCs w:val="24"/>
              </w:rPr>
              <w:t xml:space="preserve">ebări </w:t>
            </w:r>
            <w:proofErr w:type="spellStart"/>
            <w:r w:rsidRPr="00C97F18">
              <w:rPr>
                <w:rFonts w:ascii="Arial Narrow" w:hAnsi="Arial Narrow" w:cs="Arial"/>
                <w:color w:val="1F4E79" w:themeColor="accent1" w:themeShade="80"/>
                <w:sz w:val="24"/>
                <w:szCs w:val="24"/>
              </w:rPr>
              <w:t>şi</w:t>
            </w:r>
            <w:proofErr w:type="spellEnd"/>
            <w:r w:rsidRPr="00C97F18">
              <w:rPr>
                <w:rFonts w:ascii="Arial Narrow" w:hAnsi="Arial Narrow" w:cs="Arial"/>
                <w:color w:val="1F4E79" w:themeColor="accent1" w:themeShade="80"/>
                <w:sz w:val="24"/>
                <w:szCs w:val="24"/>
              </w:rPr>
              <w:t xml:space="preserve"> răspunsuri. </w:t>
            </w:r>
          </w:p>
          <w:p w:rsidR="00791D6C" w:rsidRPr="00C97F18" w:rsidRDefault="00791D6C" w:rsidP="00B14874">
            <w:pPr>
              <w:rPr>
                <w:rFonts w:ascii="Arial Narrow" w:hAnsi="Arial Narrow" w:cs="Arial"/>
                <w:color w:val="1F4E79" w:themeColor="accent1" w:themeShade="80"/>
                <w:sz w:val="24"/>
                <w:szCs w:val="24"/>
              </w:rPr>
            </w:pPr>
            <w:r w:rsidRPr="00C97F18">
              <w:rPr>
                <w:rFonts w:ascii="Arial Narrow" w:hAnsi="Arial Narrow" w:cs="Arial"/>
                <w:color w:val="1F4E79" w:themeColor="accent1" w:themeShade="80"/>
                <w:sz w:val="24"/>
                <w:szCs w:val="24"/>
              </w:rPr>
              <w:t>Închiderea seminarului. Completarea fiselor de evaluare.</w:t>
            </w:r>
          </w:p>
        </w:tc>
      </w:tr>
    </w:tbl>
    <w:p w:rsidR="00791D6C" w:rsidRPr="00C97F18" w:rsidRDefault="00791D6C" w:rsidP="00791D6C">
      <w:pPr>
        <w:spacing w:after="0" w:line="240" w:lineRule="auto"/>
        <w:rPr>
          <w:rFonts w:ascii="Arial Narrow" w:hAnsi="Arial Narrow"/>
          <w:b/>
          <w:bCs/>
        </w:rPr>
      </w:pPr>
    </w:p>
    <w:p w:rsidR="006B6CEB" w:rsidRDefault="006B6CEB"/>
    <w:sectPr w:rsidR="006B6CEB" w:rsidSect="0084168F">
      <w:headerReference w:type="default" r:id="rId7"/>
      <w:footerReference w:type="default" r:id="rId8"/>
      <w:pgSz w:w="11906" w:h="16838"/>
      <w:pgMar w:top="1134" w:right="709" w:bottom="249" w:left="709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2D3" w:rsidRDefault="006C42D3">
      <w:pPr>
        <w:spacing w:after="0" w:line="240" w:lineRule="auto"/>
      </w:pPr>
      <w:r>
        <w:separator/>
      </w:r>
    </w:p>
  </w:endnote>
  <w:endnote w:type="continuationSeparator" w:id="0">
    <w:p w:rsidR="006C42D3" w:rsidRDefault="006C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0A3" w:rsidRPr="00E11A03" w:rsidRDefault="00791D6C" w:rsidP="00D670A3">
    <w:pPr>
      <w:shd w:val="clear" w:color="auto" w:fill="FF0000"/>
      <w:rPr>
        <w:rFonts w:ascii="Arial" w:hAnsi="Arial" w:cs="Arial"/>
        <w:color w:val="FFFFFF"/>
        <w:sz w:val="18"/>
        <w:szCs w:val="18"/>
      </w:rPr>
    </w:pPr>
    <w:r w:rsidRPr="000B6015">
      <w:rPr>
        <w:rFonts w:ascii="Arial" w:hAnsi="Arial" w:cs="Arial"/>
        <w:noProof/>
        <w:sz w:val="18"/>
        <w:szCs w:val="18"/>
        <w:lang w:eastAsia="ro-RO"/>
      </w:rPr>
      <w:drawing>
        <wp:anchor distT="0" distB="0" distL="114300" distR="114300" simplePos="0" relativeHeight="251659264" behindDoc="0" locked="0" layoutInCell="1" allowOverlap="0" wp14:anchorId="38205DB8" wp14:editId="4CB8409F">
          <wp:simplePos x="0" y="0"/>
          <wp:positionH relativeFrom="column">
            <wp:posOffset>5495925</wp:posOffset>
          </wp:positionH>
          <wp:positionV relativeFrom="paragraph">
            <wp:posOffset>249555</wp:posOffset>
          </wp:positionV>
          <wp:extent cx="930275" cy="786765"/>
          <wp:effectExtent l="0" t="0" r="3175" b="0"/>
          <wp:wrapNone/>
          <wp:docPr id="11" name="Imagine 11" descr="SiglaCS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CS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0B6015">
        <w:rPr>
          <w:rStyle w:val="Hyperlink"/>
          <w:rFonts w:ascii="Arial" w:hAnsi="Arial" w:cs="Arial"/>
          <w:b/>
          <w:color w:val="FFFFFF"/>
          <w:sz w:val="18"/>
          <w:szCs w:val="18"/>
        </w:rPr>
        <w:t>www.inm-lex.ro</w:t>
      </w:r>
    </w:hyperlink>
    <w:r w:rsidRPr="000B6015">
      <w:rPr>
        <w:rFonts w:ascii="Arial" w:hAnsi="Arial" w:cs="Arial"/>
        <w:b/>
        <w:color w:val="FFFFFF"/>
        <w:sz w:val="18"/>
        <w:szCs w:val="18"/>
      </w:rPr>
      <w:t xml:space="preserve">     </w:t>
    </w:r>
    <w:r>
      <w:rPr>
        <w:rFonts w:ascii="Arial" w:hAnsi="Arial" w:cs="Arial"/>
        <w:b/>
        <w:color w:val="FFFFFF"/>
        <w:sz w:val="18"/>
        <w:szCs w:val="18"/>
      </w:rPr>
      <w:t xml:space="preserve">                                                                                                                                           </w:t>
    </w:r>
    <w:r w:rsidRPr="000B6015">
      <w:rPr>
        <w:rFonts w:ascii="Arial" w:hAnsi="Arial" w:cs="Arial"/>
        <w:b/>
        <w:color w:val="FFFFFF"/>
        <w:sz w:val="18"/>
        <w:szCs w:val="18"/>
      </w:rPr>
      <w:t xml:space="preserve"> </w:t>
    </w:r>
    <w:hyperlink r:id="rId3" w:history="1">
      <w:r w:rsidRPr="00E11A03">
        <w:rPr>
          <w:rStyle w:val="Hyperlink"/>
          <w:rFonts w:ascii="Arial" w:hAnsi="Arial" w:cs="Arial"/>
          <w:b/>
          <w:color w:val="FFFFFF"/>
          <w:sz w:val="18"/>
          <w:szCs w:val="18"/>
        </w:rPr>
        <w:t>www.csm1909.ro</w:t>
      </w:r>
    </w:hyperlink>
    <w:r w:rsidRPr="00E11A03">
      <w:rPr>
        <w:rFonts w:ascii="Arial" w:hAnsi="Arial" w:cs="Arial"/>
        <w:b/>
        <w:color w:val="FFFFFF"/>
        <w:sz w:val="18"/>
        <w:szCs w:val="18"/>
      </w:rPr>
      <w:t xml:space="preserve">                                                                                                                                                          </w:t>
    </w:r>
  </w:p>
  <w:p w:rsidR="00D670A3" w:rsidRDefault="00791D6C" w:rsidP="00D670A3">
    <w:r>
      <w:rPr>
        <w:noProof/>
        <w:lang w:eastAsia="ro-RO"/>
      </w:rPr>
      <w:drawing>
        <wp:inline distT="0" distB="0" distL="0" distR="0" wp14:anchorId="5393F95D" wp14:editId="6ED24A4F">
          <wp:extent cx="867410" cy="678180"/>
          <wp:effectExtent l="0" t="0" r="8890" b="7620"/>
          <wp:docPr id="12" name="I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70A3" w:rsidRPr="00E0215B" w:rsidRDefault="00791D6C" w:rsidP="00D670A3">
    <w:pPr>
      <w:pStyle w:val="Antet"/>
      <w:spacing w:after="0" w:line="240" w:lineRule="auto"/>
      <w:jc w:val="center"/>
      <w:rPr>
        <w:rFonts w:ascii="Arial" w:hAnsi="Arial" w:cs="Arial"/>
        <w:i/>
        <w:sz w:val="14"/>
        <w:szCs w:val="14"/>
      </w:rPr>
    </w:pPr>
    <w:r w:rsidRPr="00E0215B">
      <w:rPr>
        <w:rFonts w:ascii="Arial" w:hAnsi="Arial" w:cs="Arial"/>
        <w:i/>
        <w:sz w:val="14"/>
        <w:szCs w:val="14"/>
      </w:rPr>
      <w:t xml:space="preserve">Proiect </w:t>
    </w:r>
    <w:proofErr w:type="spellStart"/>
    <w:r w:rsidRPr="00E0215B">
      <w:rPr>
        <w:rFonts w:ascii="Arial" w:hAnsi="Arial" w:cs="Arial"/>
        <w:i/>
        <w:sz w:val="14"/>
        <w:szCs w:val="14"/>
      </w:rPr>
      <w:t>co-finanţat</w:t>
    </w:r>
    <w:proofErr w:type="spellEnd"/>
    <w:r w:rsidRPr="00E0215B">
      <w:rPr>
        <w:rFonts w:ascii="Arial" w:hAnsi="Arial" w:cs="Arial"/>
        <w:i/>
        <w:sz w:val="14"/>
        <w:szCs w:val="14"/>
      </w:rPr>
      <w:t xml:space="preserve"> printr-un grant din partea </w:t>
    </w:r>
    <w:proofErr w:type="spellStart"/>
    <w:r w:rsidRPr="00E0215B">
      <w:rPr>
        <w:rFonts w:ascii="Arial" w:hAnsi="Arial" w:cs="Arial"/>
        <w:i/>
        <w:sz w:val="14"/>
        <w:szCs w:val="14"/>
      </w:rPr>
      <w:t>Elveţiei</w:t>
    </w:r>
    <w:proofErr w:type="spellEnd"/>
    <w:r w:rsidRPr="00E0215B">
      <w:rPr>
        <w:rFonts w:ascii="Arial" w:hAnsi="Arial" w:cs="Arial"/>
        <w:i/>
        <w:sz w:val="14"/>
        <w:szCs w:val="14"/>
      </w:rPr>
      <w:t xml:space="preserve"> prin </w:t>
    </w:r>
    <w:proofErr w:type="spellStart"/>
    <w:r w:rsidRPr="00E0215B">
      <w:rPr>
        <w:rFonts w:ascii="Arial" w:hAnsi="Arial" w:cs="Arial"/>
        <w:i/>
        <w:sz w:val="14"/>
        <w:szCs w:val="14"/>
      </w:rPr>
      <w:t>inter</w:t>
    </w:r>
    <w:r>
      <w:rPr>
        <w:rFonts w:ascii="Arial" w:hAnsi="Arial" w:cs="Arial"/>
        <w:i/>
        <w:sz w:val="14"/>
        <w:szCs w:val="14"/>
      </w:rPr>
      <w:t>c</w:t>
    </w:r>
    <w:r w:rsidRPr="00E0215B">
      <w:rPr>
        <w:rFonts w:ascii="Arial" w:hAnsi="Arial" w:cs="Arial"/>
        <w:i/>
        <w:sz w:val="14"/>
        <w:szCs w:val="14"/>
      </w:rPr>
      <w:t>mediul</w:t>
    </w:r>
    <w:proofErr w:type="spellEnd"/>
    <w:r w:rsidRPr="00E0215B">
      <w:rPr>
        <w:rFonts w:ascii="Arial" w:hAnsi="Arial" w:cs="Arial"/>
        <w:i/>
        <w:sz w:val="14"/>
        <w:szCs w:val="14"/>
      </w:rPr>
      <w:t xml:space="preserve"> </w:t>
    </w:r>
    <w:proofErr w:type="spellStart"/>
    <w:r w:rsidRPr="00E0215B">
      <w:rPr>
        <w:rFonts w:ascii="Arial" w:hAnsi="Arial" w:cs="Arial"/>
        <w:i/>
        <w:sz w:val="14"/>
        <w:szCs w:val="14"/>
      </w:rPr>
      <w:t>Contribuţiei</w:t>
    </w:r>
    <w:proofErr w:type="spellEnd"/>
    <w:r w:rsidRPr="00E0215B">
      <w:rPr>
        <w:rFonts w:ascii="Arial" w:hAnsi="Arial" w:cs="Arial"/>
        <w:i/>
        <w:sz w:val="14"/>
        <w:szCs w:val="14"/>
      </w:rPr>
      <w:t xml:space="preserve"> </w:t>
    </w:r>
    <w:proofErr w:type="spellStart"/>
    <w:r w:rsidRPr="00E0215B">
      <w:rPr>
        <w:rFonts w:ascii="Arial" w:hAnsi="Arial" w:cs="Arial"/>
        <w:i/>
        <w:sz w:val="14"/>
        <w:szCs w:val="14"/>
      </w:rPr>
      <w:t>Elveţiene</w:t>
    </w:r>
    <w:proofErr w:type="spellEnd"/>
    <w:r w:rsidRPr="00E0215B">
      <w:rPr>
        <w:rFonts w:ascii="Arial" w:hAnsi="Arial" w:cs="Arial"/>
        <w:i/>
        <w:sz w:val="14"/>
        <w:szCs w:val="14"/>
      </w:rPr>
      <w:t xml:space="preserve"> pentru Uniunea Europeană extinsă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2D3" w:rsidRDefault="006C42D3">
      <w:pPr>
        <w:spacing w:after="0" w:line="240" w:lineRule="auto"/>
      </w:pPr>
      <w:r>
        <w:separator/>
      </w:r>
    </w:p>
  </w:footnote>
  <w:footnote w:type="continuationSeparator" w:id="0">
    <w:p w:rsidR="006C42D3" w:rsidRDefault="006C4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0A3" w:rsidRDefault="00791D6C">
    <w:pPr>
      <w:pStyle w:val="Antet"/>
    </w:pPr>
    <w:r>
      <w:rPr>
        <w:noProof/>
        <w:lang w:eastAsia="ro-RO"/>
      </w:rPr>
      <w:drawing>
        <wp:anchor distT="0" distB="0" distL="114300" distR="114300" simplePos="0" relativeHeight="251660288" behindDoc="0" locked="0" layoutInCell="1" allowOverlap="1" wp14:anchorId="0CF69CA8" wp14:editId="6BE48071">
          <wp:simplePos x="0" y="0"/>
          <wp:positionH relativeFrom="column">
            <wp:posOffset>2054860</wp:posOffset>
          </wp:positionH>
          <wp:positionV relativeFrom="paragraph">
            <wp:posOffset>-335915</wp:posOffset>
          </wp:positionV>
          <wp:extent cx="2466340" cy="790575"/>
          <wp:effectExtent l="0" t="0" r="0" b="9525"/>
          <wp:wrapNone/>
          <wp:docPr id="10" name="Imagine 10" descr="Logo prin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rinci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34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44F8C"/>
    <w:multiLevelType w:val="hybridMultilevel"/>
    <w:tmpl w:val="D26E5EA8"/>
    <w:lvl w:ilvl="0" w:tplc="0418000F">
      <w:start w:val="1"/>
      <w:numFmt w:val="decimal"/>
      <w:lvlText w:val="%1."/>
      <w:lvlJc w:val="left"/>
      <w:pPr>
        <w:ind w:left="825" w:hanging="360"/>
      </w:p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6C"/>
    <w:rsid w:val="004F5895"/>
    <w:rsid w:val="0063349F"/>
    <w:rsid w:val="006B6CEB"/>
    <w:rsid w:val="006C42D3"/>
    <w:rsid w:val="00711782"/>
    <w:rsid w:val="0079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317A9-4C8C-4851-B24B-F5B232E2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D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91D6C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91D6C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91D6C"/>
    <w:rPr>
      <w:color w:val="0000FF"/>
      <w:u w:val="single"/>
    </w:rPr>
  </w:style>
  <w:style w:type="paragraph" w:styleId="Listparagraf">
    <w:name w:val="List Paragraph"/>
    <w:basedOn w:val="Normal"/>
    <w:qFormat/>
    <w:rsid w:val="00791D6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Listparagraf1">
    <w:name w:val="Listă paragraf1"/>
    <w:basedOn w:val="Normal"/>
    <w:qFormat/>
    <w:rsid w:val="00791D6C"/>
    <w:pPr>
      <w:ind w:left="720"/>
    </w:pPr>
    <w:rPr>
      <w:rFonts w:eastAsia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33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334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m1909.ro" TargetMode="External"/><Relationship Id="rId2" Type="http://schemas.openxmlformats.org/officeDocument/2006/relationships/hyperlink" Target="http://www.inm-lex.ro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Carpen</dc:creator>
  <cp:keywords/>
  <dc:description/>
  <cp:lastModifiedBy>Diana Carpen</cp:lastModifiedBy>
  <cp:revision>3</cp:revision>
  <cp:lastPrinted>2017-11-13T09:25:00Z</cp:lastPrinted>
  <dcterms:created xsi:type="dcterms:W3CDTF">2017-10-11T12:38:00Z</dcterms:created>
  <dcterms:modified xsi:type="dcterms:W3CDTF">2017-11-13T09:26:00Z</dcterms:modified>
</cp:coreProperties>
</file>